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DC85" w14:textId="4E00C519" w:rsidR="00F74927" w:rsidRDefault="00F74927" w:rsidP="000E6360">
      <w:pPr>
        <w:pStyle w:val="Style1"/>
      </w:pPr>
      <w:r>
        <w:rPr>
          <w:noProof/>
        </w:rPr>
        <w:drawing>
          <wp:anchor distT="0" distB="0" distL="114300" distR="114300" simplePos="0" relativeHeight="251666432" behindDoc="1" locked="0" layoutInCell="1" allowOverlap="1" wp14:anchorId="217A1682" wp14:editId="4E3A1207">
            <wp:simplePos x="0" y="0"/>
            <wp:positionH relativeFrom="margin">
              <wp:align>left</wp:align>
            </wp:positionH>
            <wp:positionV relativeFrom="paragraph">
              <wp:posOffset>128295</wp:posOffset>
            </wp:positionV>
            <wp:extent cx="1711325" cy="1707515"/>
            <wp:effectExtent l="0" t="0" r="3175" b="6985"/>
            <wp:wrapTight wrapText="bothSides">
              <wp:wrapPolygon edited="0">
                <wp:start x="0" y="0"/>
                <wp:lineTo x="0" y="21447"/>
                <wp:lineTo x="21400" y="21447"/>
                <wp:lineTo x="2140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3468" cy="1719457"/>
                    </a:xfrm>
                    <a:prstGeom prst="rect">
                      <a:avLst/>
                    </a:prstGeom>
                  </pic:spPr>
                </pic:pic>
              </a:graphicData>
            </a:graphic>
            <wp14:sizeRelH relativeFrom="margin">
              <wp14:pctWidth>0</wp14:pctWidth>
            </wp14:sizeRelH>
            <wp14:sizeRelV relativeFrom="margin">
              <wp14:pctHeight>0</wp14:pctHeight>
            </wp14:sizeRelV>
          </wp:anchor>
        </w:drawing>
      </w:r>
    </w:p>
    <w:p w14:paraId="17BCE7B8" w14:textId="58B8E9FF" w:rsidR="00F74927" w:rsidRDefault="00F74927" w:rsidP="000E6360">
      <w:pPr>
        <w:pStyle w:val="Style1"/>
      </w:pPr>
    </w:p>
    <w:p w14:paraId="74718F92" w14:textId="43F94CB6" w:rsidR="00B32D52" w:rsidRPr="000E6360" w:rsidRDefault="00732125" w:rsidP="000E6360">
      <w:pPr>
        <w:pStyle w:val="Style1"/>
      </w:pPr>
      <w:bookmarkStart w:id="0" w:name="_Hlk13560506"/>
      <w:bookmarkEnd w:id="0"/>
      <w:r>
        <w:t>One Health Scorecard process</w:t>
      </w:r>
      <w:r w:rsidR="0094177A">
        <w:t xml:space="preserve"> 2018</w:t>
      </w:r>
      <w:r w:rsidR="00BD385A">
        <w:t xml:space="preserve">: </w:t>
      </w:r>
      <w:r w:rsidR="00B32D52">
        <w:t>Methodology Note</w:t>
      </w:r>
    </w:p>
    <w:p w14:paraId="6331E67D" w14:textId="7B65DC22" w:rsidR="000E6360" w:rsidRDefault="000E6360" w:rsidP="000E6360">
      <w:pPr>
        <w:pStyle w:val="NormalDanone"/>
        <w:rPr>
          <w:lang w:val="en-US"/>
        </w:rPr>
      </w:pPr>
    </w:p>
    <w:p w14:paraId="0DBB0994" w14:textId="1AE5C9C9" w:rsidR="00687035" w:rsidRDefault="00687035" w:rsidP="000E6360">
      <w:pPr>
        <w:pStyle w:val="NormalDanone"/>
        <w:rPr>
          <w:lang w:val="en-US"/>
        </w:rPr>
      </w:pPr>
    </w:p>
    <w:p w14:paraId="7C7AE2A8" w14:textId="0E961A41" w:rsidR="00687035" w:rsidRDefault="00687035" w:rsidP="000E6360">
      <w:pPr>
        <w:pStyle w:val="NormalDanone"/>
        <w:rPr>
          <w:lang w:val="en-US"/>
        </w:rPr>
      </w:pPr>
    </w:p>
    <w:p w14:paraId="17CD0FE0" w14:textId="44FBEFE8" w:rsidR="00DF071E" w:rsidRPr="00DF071E" w:rsidRDefault="00DF071E" w:rsidP="00DF071E">
      <w:pPr>
        <w:pStyle w:val="Titre3Danone"/>
        <w:rPr>
          <w:lang w:val="en-US"/>
        </w:rPr>
      </w:pPr>
      <w:r w:rsidRPr="00DF071E">
        <w:rPr>
          <w:lang w:val="en-US"/>
        </w:rPr>
        <w:t xml:space="preserve">This document aims </w:t>
      </w:r>
      <w:r w:rsidR="00422492">
        <w:rPr>
          <w:lang w:val="en-US"/>
        </w:rPr>
        <w:t>to describe</w:t>
      </w:r>
      <w:r w:rsidRPr="00DF071E">
        <w:rPr>
          <w:lang w:val="en-US"/>
        </w:rPr>
        <w:t xml:space="preserve"> in more details how figures published in the Nutrition Achievements leaflet have been collected, checked and calculated.</w:t>
      </w:r>
    </w:p>
    <w:p w14:paraId="740CC9FF" w14:textId="77777777" w:rsidR="00DF071E" w:rsidRPr="007B5D35" w:rsidRDefault="00DF071E" w:rsidP="000E6360">
      <w:pPr>
        <w:pStyle w:val="NormalDanone"/>
        <w:rPr>
          <w:sz w:val="24"/>
          <w:szCs w:val="14"/>
          <w:lang w:val="en-US"/>
        </w:rPr>
      </w:pPr>
    </w:p>
    <w:p w14:paraId="5CB61C37" w14:textId="2122AFE1" w:rsidR="00E13436" w:rsidRPr="0080703A" w:rsidRDefault="00E13436" w:rsidP="0080703A">
      <w:pPr>
        <w:pStyle w:val="Titre5Danone"/>
        <w:rPr>
          <w:b w:val="0"/>
          <w:sz w:val="24"/>
          <w:lang w:val="en-US"/>
        </w:rPr>
      </w:pPr>
      <w:r w:rsidRPr="0080703A">
        <w:rPr>
          <w:b w:val="0"/>
          <w:sz w:val="24"/>
          <w:lang w:val="en-US"/>
        </w:rPr>
        <w:t>Consolidation scope and coverage</w:t>
      </w:r>
    </w:p>
    <w:p w14:paraId="3A334600" w14:textId="48B4F337" w:rsidR="008F0EDE" w:rsidRPr="00DF071E" w:rsidRDefault="008F0EDE" w:rsidP="001E01BA">
      <w:pPr>
        <w:pStyle w:val="NormalDanone"/>
        <w:rPr>
          <w:sz w:val="20"/>
          <w:szCs w:val="14"/>
          <w:lang w:val="en-US"/>
        </w:rPr>
      </w:pPr>
      <w:r w:rsidRPr="00DF071E">
        <w:rPr>
          <w:sz w:val="20"/>
          <w:szCs w:val="14"/>
          <w:lang w:val="en-US"/>
        </w:rPr>
        <w:t xml:space="preserve">In 2011, Danone created a series of performance indicators (One Health Scorecard) to measure improvements and progress made regarding health and nutrition, particularly product composition and responsible communication, </w:t>
      </w:r>
      <w:r w:rsidR="008F5E78" w:rsidRPr="00AC0C47">
        <w:rPr>
          <w:sz w:val="20"/>
          <w:szCs w:val="14"/>
          <w:lang w:val="en-US"/>
        </w:rPr>
        <w:t>and started to disclose</w:t>
      </w:r>
      <w:r w:rsidRPr="00AC0C47">
        <w:rPr>
          <w:sz w:val="20"/>
          <w:szCs w:val="14"/>
          <w:lang w:val="en-US"/>
        </w:rPr>
        <w:t xml:space="preserve"> </w:t>
      </w:r>
      <w:r w:rsidR="008F5E78" w:rsidRPr="00AC0C47">
        <w:rPr>
          <w:sz w:val="20"/>
          <w:szCs w:val="14"/>
          <w:lang w:val="en-US"/>
        </w:rPr>
        <w:t>some of these indicators on an annual basis</w:t>
      </w:r>
      <w:r w:rsidRPr="00AC0C47">
        <w:rPr>
          <w:sz w:val="20"/>
          <w:szCs w:val="14"/>
          <w:lang w:val="en-US"/>
        </w:rPr>
        <w:t>.</w:t>
      </w:r>
    </w:p>
    <w:p w14:paraId="48ECE928" w14:textId="7F10A92A" w:rsidR="000A3A18" w:rsidRPr="00DF071E" w:rsidRDefault="008F0EDE" w:rsidP="001E01BA">
      <w:pPr>
        <w:pStyle w:val="NormalDanone"/>
        <w:rPr>
          <w:sz w:val="20"/>
          <w:szCs w:val="14"/>
          <w:lang w:val="en-US"/>
        </w:rPr>
      </w:pPr>
      <w:r w:rsidRPr="00DF071E">
        <w:rPr>
          <w:sz w:val="20"/>
          <w:szCs w:val="14"/>
          <w:lang w:val="en-US"/>
        </w:rPr>
        <w:t xml:space="preserve">These indicators are consolidated for a scope of 16 countries covering all of Danone's Businesses and geographic regions. However, plant-based products have </w:t>
      </w:r>
      <w:r w:rsidRPr="00AC0C47">
        <w:rPr>
          <w:sz w:val="20"/>
          <w:szCs w:val="14"/>
          <w:lang w:val="en-US"/>
        </w:rPr>
        <w:t xml:space="preserve">not </w:t>
      </w:r>
      <w:r w:rsidR="00D23895" w:rsidRPr="00AC0C47">
        <w:rPr>
          <w:sz w:val="20"/>
          <w:szCs w:val="14"/>
          <w:lang w:val="en-US"/>
        </w:rPr>
        <w:t>yet</w:t>
      </w:r>
      <w:r w:rsidR="00D23895">
        <w:rPr>
          <w:sz w:val="20"/>
          <w:szCs w:val="14"/>
          <w:lang w:val="en-US"/>
        </w:rPr>
        <w:t xml:space="preserve"> </w:t>
      </w:r>
      <w:r w:rsidRPr="00DF071E">
        <w:rPr>
          <w:sz w:val="20"/>
          <w:szCs w:val="14"/>
          <w:lang w:val="en-US"/>
        </w:rPr>
        <w:t xml:space="preserve">been included in the scope in 2018. </w:t>
      </w:r>
    </w:p>
    <w:p w14:paraId="4AC20807" w14:textId="3C31154C" w:rsidR="001E01BA" w:rsidRPr="00DF071E" w:rsidRDefault="008F0EDE" w:rsidP="001E01BA">
      <w:pPr>
        <w:pStyle w:val="NormalDanone"/>
        <w:rPr>
          <w:sz w:val="20"/>
          <w:szCs w:val="14"/>
          <w:lang w:val="en-US"/>
        </w:rPr>
      </w:pPr>
      <w:r w:rsidRPr="00DF071E">
        <w:rPr>
          <w:sz w:val="20"/>
          <w:szCs w:val="14"/>
          <w:lang w:val="en-US"/>
        </w:rPr>
        <w:t xml:space="preserve">In 2018, 61 </w:t>
      </w:r>
      <w:r w:rsidR="00B179BF" w:rsidRPr="00DF071E">
        <w:rPr>
          <w:sz w:val="20"/>
          <w:szCs w:val="14"/>
          <w:lang w:val="en-US"/>
        </w:rPr>
        <w:t>subsidiaries</w:t>
      </w:r>
      <w:r w:rsidRPr="00DF071E">
        <w:rPr>
          <w:sz w:val="20"/>
          <w:szCs w:val="14"/>
          <w:lang w:val="en-US"/>
        </w:rPr>
        <w:t xml:space="preserve"> representing about 65% of consolidated sales reported One Health indicators.</w:t>
      </w:r>
    </w:p>
    <w:p w14:paraId="31A677D0" w14:textId="77777777" w:rsidR="008F0EDE" w:rsidRPr="007B5D35" w:rsidRDefault="008F0EDE" w:rsidP="00E13436">
      <w:pPr>
        <w:pStyle w:val="NormalDanone"/>
        <w:rPr>
          <w:sz w:val="24"/>
          <w:lang w:val="en-US"/>
        </w:rPr>
      </w:pPr>
    </w:p>
    <w:p w14:paraId="5AE8534B" w14:textId="2FF14B07" w:rsidR="00E13436" w:rsidRPr="0080703A" w:rsidRDefault="00E13436" w:rsidP="0080703A">
      <w:pPr>
        <w:pStyle w:val="Titre5Danone"/>
        <w:rPr>
          <w:b w:val="0"/>
          <w:sz w:val="24"/>
          <w:lang w:val="en-US"/>
        </w:rPr>
      </w:pPr>
      <w:r w:rsidRPr="0080703A">
        <w:rPr>
          <w:b w:val="0"/>
          <w:sz w:val="24"/>
          <w:lang w:val="en-US"/>
        </w:rPr>
        <w:t>Definition of the Businesses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3047"/>
        <w:gridCol w:w="6592"/>
      </w:tblGrid>
      <w:tr w:rsidR="00E13436" w:rsidRPr="00976E9E" w14:paraId="3C574FEF" w14:textId="77777777" w:rsidTr="00CB4BDD">
        <w:tc>
          <w:tcPr>
            <w:tcW w:w="3085" w:type="dxa"/>
          </w:tcPr>
          <w:p w14:paraId="1DD047D4" w14:textId="3CF01986" w:rsidR="00E13436" w:rsidRPr="00DF071E" w:rsidRDefault="006D1CD4" w:rsidP="00CB4BDD">
            <w:pPr>
              <w:pStyle w:val="NormalDanone"/>
              <w:rPr>
                <w:rFonts w:eastAsia="DINOT-Light"/>
                <w:sz w:val="20"/>
                <w:lang w:val="en-US"/>
              </w:rPr>
            </w:pPr>
            <w:r>
              <w:rPr>
                <w:noProof/>
                <w:sz w:val="20"/>
                <w:lang w:val="en-US"/>
              </w:rPr>
              <w:drawing>
                <wp:anchor distT="0" distB="0" distL="114300" distR="114300" simplePos="0" relativeHeight="251662336" behindDoc="1" locked="0" layoutInCell="1" allowOverlap="1" wp14:anchorId="620FF3B5" wp14:editId="5F00ECE4">
                  <wp:simplePos x="0" y="0"/>
                  <wp:positionH relativeFrom="column">
                    <wp:posOffset>-1905</wp:posOffset>
                  </wp:positionH>
                  <wp:positionV relativeFrom="paragraph">
                    <wp:posOffset>36830</wp:posOffset>
                  </wp:positionV>
                  <wp:extent cx="235585" cy="309245"/>
                  <wp:effectExtent l="0" t="0" r="0" b="0"/>
                  <wp:wrapTight wrapText="bothSides">
                    <wp:wrapPolygon edited="0">
                      <wp:start x="0" y="0"/>
                      <wp:lineTo x="0" y="19959"/>
                      <wp:lineTo x="19213" y="19959"/>
                      <wp:lineTo x="1921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iry picto blanc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85" cy="309245"/>
                          </a:xfrm>
                          <a:prstGeom prst="rect">
                            <a:avLst/>
                          </a:prstGeom>
                        </pic:spPr>
                      </pic:pic>
                    </a:graphicData>
                  </a:graphic>
                  <wp14:sizeRelH relativeFrom="margin">
                    <wp14:pctWidth>0</wp14:pctWidth>
                  </wp14:sizeRelH>
                  <wp14:sizeRelV relativeFrom="margin">
                    <wp14:pctHeight>0</wp14:pctHeight>
                  </wp14:sizeRelV>
                </wp:anchor>
              </w:drawing>
            </w:r>
            <w:r w:rsidR="00E13436" w:rsidRPr="00DF071E">
              <w:rPr>
                <w:sz w:val="20"/>
                <w:lang w:val="en-US"/>
              </w:rPr>
              <w:t>Essential Dairy and Plant-Based</w:t>
            </w:r>
            <w:r w:rsidR="000A3A18" w:rsidRPr="00DF071E">
              <w:rPr>
                <w:sz w:val="20"/>
                <w:lang w:val="en-US"/>
              </w:rPr>
              <w:t xml:space="preserve"> (EDP)</w:t>
            </w:r>
          </w:p>
        </w:tc>
        <w:tc>
          <w:tcPr>
            <w:tcW w:w="6694" w:type="dxa"/>
          </w:tcPr>
          <w:p w14:paraId="5A6052DA" w14:textId="18976B44" w:rsidR="00E13436" w:rsidRPr="00DF071E" w:rsidRDefault="00E13436" w:rsidP="0087777A">
            <w:pPr>
              <w:pStyle w:val="NormalDanone"/>
              <w:rPr>
                <w:rFonts w:eastAsia="DINOT-Light"/>
                <w:sz w:val="20"/>
                <w:lang w:val="en-US"/>
              </w:rPr>
            </w:pPr>
            <w:r w:rsidRPr="00DF071E">
              <w:rPr>
                <w:sz w:val="20"/>
                <w:lang w:val="en-US"/>
              </w:rPr>
              <w:t xml:space="preserve">Production and distribution of </w:t>
            </w:r>
            <w:r w:rsidR="00373CD3" w:rsidRPr="00DF071E">
              <w:rPr>
                <w:sz w:val="20"/>
                <w:lang w:val="en-US"/>
              </w:rPr>
              <w:t>fresh fermented dairy products</w:t>
            </w:r>
            <w:r w:rsidR="00935A18" w:rsidRPr="00DF071E">
              <w:rPr>
                <w:sz w:val="20"/>
                <w:lang w:val="en-US"/>
              </w:rPr>
              <w:t xml:space="preserve"> and other special</w:t>
            </w:r>
            <w:r w:rsidR="00117D3B" w:rsidRPr="00DF071E">
              <w:rPr>
                <w:sz w:val="20"/>
                <w:lang w:val="en-US"/>
              </w:rPr>
              <w:t>ty</w:t>
            </w:r>
            <w:r w:rsidR="00935A18" w:rsidRPr="00DF071E">
              <w:rPr>
                <w:sz w:val="20"/>
                <w:lang w:val="en-US"/>
              </w:rPr>
              <w:t xml:space="preserve"> dairy products</w:t>
            </w:r>
            <w:r w:rsidRPr="00DF071E">
              <w:rPr>
                <w:sz w:val="20"/>
                <w:lang w:val="en-US"/>
              </w:rPr>
              <w:t>; plant-based products and drinks (made primarily from soy, almonds, hazelnuts, rice, oats and coconut); and coffee creamers</w:t>
            </w:r>
            <w:r w:rsidR="00AC0C47">
              <w:rPr>
                <w:sz w:val="20"/>
                <w:lang w:val="en-US"/>
              </w:rPr>
              <w:t>.</w:t>
            </w:r>
            <w:r w:rsidR="00D23895">
              <w:rPr>
                <w:sz w:val="20"/>
                <w:lang w:val="en-US"/>
              </w:rPr>
              <w:br/>
            </w:r>
            <w:r w:rsidR="00AC0C47">
              <w:rPr>
                <w:sz w:val="20"/>
                <w:lang w:val="en-US"/>
              </w:rPr>
              <w:t>P</w:t>
            </w:r>
            <w:r w:rsidR="00D23895" w:rsidRPr="00AC0C47">
              <w:rPr>
                <w:sz w:val="20"/>
                <w:szCs w:val="14"/>
                <w:lang w:val="en-US"/>
              </w:rPr>
              <w:t>lant-based products have not yet been included in the reporting scope in 2018</w:t>
            </w:r>
            <w:r w:rsidR="00AC0C47">
              <w:rPr>
                <w:sz w:val="20"/>
                <w:szCs w:val="14"/>
                <w:lang w:val="en-US"/>
              </w:rPr>
              <w:t>.</w:t>
            </w:r>
          </w:p>
        </w:tc>
      </w:tr>
      <w:tr w:rsidR="00E13436" w:rsidRPr="00976E9E" w14:paraId="719F9148" w14:textId="77777777" w:rsidTr="00CB4BDD">
        <w:tc>
          <w:tcPr>
            <w:tcW w:w="3085" w:type="dxa"/>
          </w:tcPr>
          <w:p w14:paraId="7CA25C63" w14:textId="56D82096" w:rsidR="00E13436" w:rsidRPr="00DF071E" w:rsidRDefault="006D1CD4" w:rsidP="00CB4BDD">
            <w:pPr>
              <w:pStyle w:val="NormalDanone"/>
              <w:rPr>
                <w:rFonts w:eastAsia="DINOT-Light"/>
                <w:sz w:val="20"/>
                <w:lang w:val="en-US"/>
              </w:rPr>
            </w:pPr>
            <w:r>
              <w:rPr>
                <w:noProof/>
                <w:sz w:val="20"/>
                <w:lang w:val="en-US"/>
              </w:rPr>
              <w:drawing>
                <wp:anchor distT="0" distB="0" distL="114300" distR="114300" simplePos="0" relativeHeight="251659264" behindDoc="1" locked="0" layoutInCell="1" allowOverlap="1" wp14:anchorId="1696444E" wp14:editId="388AB42A">
                  <wp:simplePos x="0" y="0"/>
                  <wp:positionH relativeFrom="margin">
                    <wp:posOffset>-65405</wp:posOffset>
                  </wp:positionH>
                  <wp:positionV relativeFrom="paragraph">
                    <wp:posOffset>45720</wp:posOffset>
                  </wp:positionV>
                  <wp:extent cx="257175" cy="262255"/>
                  <wp:effectExtent l="0" t="0" r="9525" b="4445"/>
                  <wp:wrapTight wrapText="bothSides">
                    <wp:wrapPolygon edited="0">
                      <wp:start x="0" y="0"/>
                      <wp:lineTo x="0" y="20397"/>
                      <wp:lineTo x="20800" y="20397"/>
                      <wp:lineTo x="2080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N picto blanc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 cy="262255"/>
                          </a:xfrm>
                          <a:prstGeom prst="rect">
                            <a:avLst/>
                          </a:prstGeom>
                        </pic:spPr>
                      </pic:pic>
                    </a:graphicData>
                  </a:graphic>
                  <wp14:sizeRelH relativeFrom="margin">
                    <wp14:pctWidth>0</wp14:pctWidth>
                  </wp14:sizeRelH>
                  <wp14:sizeRelV relativeFrom="margin">
                    <wp14:pctHeight>0</wp14:pctHeight>
                  </wp14:sizeRelV>
                </wp:anchor>
              </w:drawing>
            </w:r>
            <w:r w:rsidR="00E13436" w:rsidRPr="00DF071E">
              <w:rPr>
                <w:sz w:val="20"/>
                <w:lang w:val="en-US"/>
              </w:rPr>
              <w:t>Early Life Nutrition</w:t>
            </w:r>
            <w:r w:rsidR="000A3A18" w:rsidRPr="00DF071E">
              <w:rPr>
                <w:sz w:val="20"/>
                <w:lang w:val="en-US"/>
              </w:rPr>
              <w:t xml:space="preserve"> (ELN)</w:t>
            </w:r>
          </w:p>
        </w:tc>
        <w:tc>
          <w:tcPr>
            <w:tcW w:w="6694" w:type="dxa"/>
          </w:tcPr>
          <w:p w14:paraId="7BBF36A0" w14:textId="77777777" w:rsidR="00E13436" w:rsidRPr="00DF071E" w:rsidRDefault="00E13436" w:rsidP="00CB4BDD">
            <w:pPr>
              <w:pStyle w:val="NormalDanone"/>
              <w:rPr>
                <w:rFonts w:eastAsia="DINOT-Light"/>
                <w:sz w:val="20"/>
                <w:lang w:val="en-US"/>
              </w:rPr>
            </w:pPr>
            <w:r w:rsidRPr="00DF071E">
              <w:rPr>
                <w:sz w:val="20"/>
                <w:lang w:val="en-US"/>
              </w:rPr>
              <w:t>Production and distribution of specialized food for babies and young children to complement breast-feeding.</w:t>
            </w:r>
          </w:p>
        </w:tc>
      </w:tr>
      <w:tr w:rsidR="00E13436" w:rsidRPr="00976E9E" w14:paraId="72CCABF0" w14:textId="77777777" w:rsidTr="00CB4BDD">
        <w:tc>
          <w:tcPr>
            <w:tcW w:w="3085" w:type="dxa"/>
          </w:tcPr>
          <w:p w14:paraId="11956C6C" w14:textId="530107AF" w:rsidR="00E13436" w:rsidRPr="00DF071E" w:rsidRDefault="006D1CD4" w:rsidP="00CB4BDD">
            <w:pPr>
              <w:pStyle w:val="NormalDanone"/>
              <w:rPr>
                <w:sz w:val="20"/>
                <w:lang w:val="en-US"/>
              </w:rPr>
            </w:pPr>
            <w:r>
              <w:rPr>
                <w:noProof/>
                <w:sz w:val="20"/>
                <w:lang w:val="en-US"/>
              </w:rPr>
              <w:drawing>
                <wp:anchor distT="0" distB="0" distL="114300" distR="114300" simplePos="0" relativeHeight="251660288" behindDoc="1" locked="0" layoutInCell="1" allowOverlap="1" wp14:anchorId="691580F1" wp14:editId="1EC39099">
                  <wp:simplePos x="0" y="0"/>
                  <wp:positionH relativeFrom="column">
                    <wp:posOffset>-17780</wp:posOffset>
                  </wp:positionH>
                  <wp:positionV relativeFrom="paragraph">
                    <wp:posOffset>100330</wp:posOffset>
                  </wp:positionV>
                  <wp:extent cx="180975" cy="372110"/>
                  <wp:effectExtent l="0" t="0" r="9525" b="8890"/>
                  <wp:wrapTight wrapText="bothSides">
                    <wp:wrapPolygon edited="0">
                      <wp:start x="0" y="0"/>
                      <wp:lineTo x="0" y="21010"/>
                      <wp:lineTo x="20463" y="21010"/>
                      <wp:lineTo x="2046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s picto blanc 20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 cy="372110"/>
                          </a:xfrm>
                          <a:prstGeom prst="rect">
                            <a:avLst/>
                          </a:prstGeom>
                        </pic:spPr>
                      </pic:pic>
                    </a:graphicData>
                  </a:graphic>
                  <wp14:sizeRelH relativeFrom="margin">
                    <wp14:pctWidth>0</wp14:pctWidth>
                  </wp14:sizeRelH>
                  <wp14:sizeRelV relativeFrom="margin">
                    <wp14:pctHeight>0</wp14:pctHeight>
                  </wp14:sizeRelV>
                </wp:anchor>
              </w:drawing>
            </w:r>
            <w:r w:rsidR="00E13436" w:rsidRPr="00DF071E">
              <w:rPr>
                <w:sz w:val="20"/>
                <w:lang w:val="en-US"/>
              </w:rPr>
              <w:t>Waters</w:t>
            </w:r>
          </w:p>
        </w:tc>
        <w:tc>
          <w:tcPr>
            <w:tcW w:w="6694" w:type="dxa"/>
          </w:tcPr>
          <w:p w14:paraId="2C6D290D" w14:textId="1641819C" w:rsidR="00CA34AF" w:rsidRPr="00DF071E" w:rsidRDefault="00CA34AF" w:rsidP="00CB4BDD">
            <w:pPr>
              <w:pStyle w:val="NormalDanone"/>
              <w:rPr>
                <w:sz w:val="20"/>
                <w:lang w:val="en-US"/>
              </w:rPr>
            </w:pPr>
            <w:r w:rsidRPr="00DF071E">
              <w:rPr>
                <w:sz w:val="20"/>
                <w:lang w:val="en-US"/>
              </w:rPr>
              <w:t xml:space="preserve">Production and distribution of </w:t>
            </w:r>
            <w:r w:rsidRPr="00CA34AF">
              <w:rPr>
                <w:sz w:val="20"/>
                <w:lang w:val="en-US"/>
              </w:rPr>
              <w:t xml:space="preserve">plain waters along with </w:t>
            </w:r>
            <w:r w:rsidR="00F114FB">
              <w:rPr>
                <w:sz w:val="20"/>
                <w:lang w:val="en-US"/>
              </w:rPr>
              <w:t>A</w:t>
            </w:r>
            <w:r w:rsidRPr="00CA34AF">
              <w:rPr>
                <w:sz w:val="20"/>
                <w:lang w:val="en-US"/>
              </w:rPr>
              <w:t>quadrinks (waters flavored or enriched with natural fruit juice extracts, fruit juice and vitamins).</w:t>
            </w:r>
          </w:p>
        </w:tc>
      </w:tr>
      <w:tr w:rsidR="00E13436" w:rsidRPr="00976E9E" w14:paraId="213C9414" w14:textId="77777777" w:rsidTr="00CB4BDD">
        <w:tc>
          <w:tcPr>
            <w:tcW w:w="3085" w:type="dxa"/>
          </w:tcPr>
          <w:p w14:paraId="30ED1CAF" w14:textId="69909D70" w:rsidR="00E13436" w:rsidRPr="00DF071E" w:rsidRDefault="006D1CD4" w:rsidP="006D1CD4">
            <w:pPr>
              <w:pStyle w:val="NormalDanone"/>
              <w:spacing w:after="240"/>
              <w:rPr>
                <w:sz w:val="20"/>
                <w:lang w:val="en-US"/>
              </w:rPr>
            </w:pPr>
            <w:r>
              <w:rPr>
                <w:noProof/>
                <w:sz w:val="20"/>
                <w:lang w:val="en-US"/>
              </w:rPr>
              <w:drawing>
                <wp:anchor distT="0" distB="0" distL="114300" distR="114300" simplePos="0" relativeHeight="251661312" behindDoc="1" locked="0" layoutInCell="1" allowOverlap="1" wp14:anchorId="29600E64" wp14:editId="42C68F4E">
                  <wp:simplePos x="0" y="0"/>
                  <wp:positionH relativeFrom="column">
                    <wp:posOffset>-17780</wp:posOffset>
                  </wp:positionH>
                  <wp:positionV relativeFrom="paragraph">
                    <wp:posOffset>9525</wp:posOffset>
                  </wp:positionV>
                  <wp:extent cx="182880" cy="362585"/>
                  <wp:effectExtent l="0" t="0" r="7620" b="0"/>
                  <wp:wrapTight wrapText="bothSides">
                    <wp:wrapPolygon edited="0">
                      <wp:start x="0" y="0"/>
                      <wp:lineTo x="0" y="20427"/>
                      <wp:lineTo x="20250" y="20427"/>
                      <wp:lineTo x="2025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cal picto blanc 20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362585"/>
                          </a:xfrm>
                          <a:prstGeom prst="rect">
                            <a:avLst/>
                          </a:prstGeom>
                        </pic:spPr>
                      </pic:pic>
                    </a:graphicData>
                  </a:graphic>
                  <wp14:sizeRelH relativeFrom="margin">
                    <wp14:pctWidth>0</wp14:pctWidth>
                  </wp14:sizeRelH>
                  <wp14:sizeRelV relativeFrom="margin">
                    <wp14:pctHeight>0</wp14:pctHeight>
                  </wp14:sizeRelV>
                </wp:anchor>
              </w:drawing>
            </w:r>
            <w:r w:rsidR="000A3A18" w:rsidRPr="00DF071E">
              <w:rPr>
                <w:sz w:val="20"/>
                <w:lang w:val="en-US"/>
              </w:rPr>
              <w:t xml:space="preserve">Advanced </w:t>
            </w:r>
            <w:r w:rsidR="00E13436" w:rsidRPr="00DF071E">
              <w:rPr>
                <w:sz w:val="20"/>
                <w:lang w:val="en-US"/>
              </w:rPr>
              <w:t>Medical Nutrition</w:t>
            </w:r>
            <w:r w:rsidR="000A3A18" w:rsidRPr="00DF071E">
              <w:rPr>
                <w:sz w:val="20"/>
                <w:lang w:val="en-US"/>
              </w:rPr>
              <w:t xml:space="preserve"> (AMN</w:t>
            </w:r>
            <w:r w:rsidR="00C4787A" w:rsidRPr="00DF071E">
              <w:rPr>
                <w:sz w:val="20"/>
                <w:lang w:val="en-US"/>
              </w:rPr>
              <w:t>)</w:t>
            </w:r>
          </w:p>
        </w:tc>
        <w:tc>
          <w:tcPr>
            <w:tcW w:w="6694" w:type="dxa"/>
          </w:tcPr>
          <w:p w14:paraId="13724137" w14:textId="77777777" w:rsidR="00E13436" w:rsidRPr="00DF071E" w:rsidRDefault="00E13436" w:rsidP="00CB4BDD">
            <w:pPr>
              <w:pStyle w:val="NormalDanone"/>
              <w:rPr>
                <w:sz w:val="20"/>
                <w:lang w:val="en-US"/>
              </w:rPr>
            </w:pPr>
            <w:r w:rsidRPr="00DF071E">
              <w:rPr>
                <w:sz w:val="20"/>
                <w:lang w:val="en-US"/>
              </w:rPr>
              <w:t xml:space="preserve">Production and distribution of specialized food for people afflicted with certain illnesses or frail elderly people. </w:t>
            </w:r>
          </w:p>
        </w:tc>
      </w:tr>
    </w:tbl>
    <w:p w14:paraId="53591396" w14:textId="6AB680A9" w:rsidR="00C4787A" w:rsidRDefault="00C4787A" w:rsidP="00E13436">
      <w:pPr>
        <w:pStyle w:val="Titre3Danone"/>
        <w:rPr>
          <w:lang w:val="en-US"/>
        </w:rPr>
      </w:pPr>
    </w:p>
    <w:p w14:paraId="2C09867A" w14:textId="12F9AEB6" w:rsidR="00E13436" w:rsidRPr="0080703A" w:rsidRDefault="00E13436" w:rsidP="0080703A">
      <w:pPr>
        <w:pStyle w:val="Titre5Danone"/>
        <w:rPr>
          <w:b w:val="0"/>
          <w:sz w:val="24"/>
          <w:lang w:val="en-US"/>
        </w:rPr>
      </w:pPr>
      <w:r w:rsidRPr="0080703A">
        <w:rPr>
          <w:b w:val="0"/>
          <w:sz w:val="24"/>
          <w:lang w:val="en-US"/>
        </w:rPr>
        <w:t>Data collection</w:t>
      </w:r>
    </w:p>
    <w:p w14:paraId="0478CD8A" w14:textId="358C8EF8" w:rsidR="00E13436" w:rsidRPr="00DF071E" w:rsidRDefault="00E13436" w:rsidP="00E13436">
      <w:pPr>
        <w:pStyle w:val="NormalDanone"/>
        <w:rPr>
          <w:sz w:val="20"/>
          <w:lang w:val="en-US"/>
        </w:rPr>
      </w:pPr>
      <w:r w:rsidRPr="00DF071E">
        <w:rPr>
          <w:sz w:val="20"/>
          <w:lang w:val="en-US"/>
        </w:rPr>
        <w:t>To ensure the homogeneity of the indicators across the reporting scope, shared data reporting guidelines are transmitted</w:t>
      </w:r>
      <w:r w:rsidR="00D23895" w:rsidRPr="00AC0C47">
        <w:rPr>
          <w:sz w:val="20"/>
          <w:lang w:val="en-US"/>
        </w:rPr>
        <w:t>,</w:t>
      </w:r>
      <w:r w:rsidRPr="00AC0C47">
        <w:rPr>
          <w:sz w:val="20"/>
          <w:lang w:val="en-US"/>
        </w:rPr>
        <w:t xml:space="preserve"> and updated each year </w:t>
      </w:r>
      <w:r w:rsidR="00D23895" w:rsidRPr="00AC0C47">
        <w:rPr>
          <w:sz w:val="20"/>
          <w:lang w:val="en-US"/>
        </w:rPr>
        <w:t>based on the learnings from</w:t>
      </w:r>
      <w:r w:rsidRPr="00AC0C47">
        <w:rPr>
          <w:sz w:val="20"/>
          <w:lang w:val="en-US"/>
        </w:rPr>
        <w:t xml:space="preserve"> data consolidation and comments of contributors. These guidelines specify the methodologies to be used </w:t>
      </w:r>
      <w:r w:rsidR="00D23895" w:rsidRPr="00AC0C47">
        <w:rPr>
          <w:sz w:val="20"/>
          <w:lang w:val="en-US"/>
        </w:rPr>
        <w:t>to</w:t>
      </w:r>
      <w:r w:rsidRPr="00AC0C47">
        <w:rPr>
          <w:sz w:val="20"/>
          <w:lang w:val="en-US"/>
        </w:rPr>
        <w:t xml:space="preserve"> report</w:t>
      </w:r>
      <w:r w:rsidRPr="00DF071E">
        <w:rPr>
          <w:sz w:val="20"/>
          <w:lang w:val="en-US"/>
        </w:rPr>
        <w:t xml:space="preserve"> the indicators, including definitions, methodology principles, calculation formulas and standard factors.</w:t>
      </w:r>
    </w:p>
    <w:p w14:paraId="18BE85AC" w14:textId="329B1002" w:rsidR="00D23895" w:rsidRDefault="00D23895" w:rsidP="00E13436">
      <w:pPr>
        <w:pStyle w:val="NormalDanone"/>
        <w:rPr>
          <w:sz w:val="20"/>
          <w:lang w:val="en-US"/>
        </w:rPr>
      </w:pPr>
      <w:r w:rsidRPr="00DF071E">
        <w:rPr>
          <w:sz w:val="20"/>
          <w:lang w:val="en-US"/>
        </w:rPr>
        <w:t xml:space="preserve">The </w:t>
      </w:r>
      <w:r>
        <w:rPr>
          <w:sz w:val="20"/>
          <w:lang w:val="en-US"/>
        </w:rPr>
        <w:t>Alimentation Science Department</w:t>
      </w:r>
      <w:r w:rsidR="00EB16E0">
        <w:rPr>
          <w:sz w:val="20"/>
          <w:lang w:val="en-US"/>
        </w:rPr>
        <w:t xml:space="preserve"> </w:t>
      </w:r>
      <w:r>
        <w:rPr>
          <w:sz w:val="20"/>
          <w:lang w:val="en-US"/>
        </w:rPr>
        <w:t>is accountable</w:t>
      </w:r>
      <w:r w:rsidRPr="00DF071E">
        <w:rPr>
          <w:sz w:val="20"/>
          <w:lang w:val="en-US"/>
        </w:rPr>
        <w:t xml:space="preserve"> for One </w:t>
      </w:r>
      <w:r>
        <w:rPr>
          <w:sz w:val="20"/>
          <w:lang w:val="en-US"/>
        </w:rPr>
        <w:t>H</w:t>
      </w:r>
      <w:r w:rsidRPr="00DF071E">
        <w:rPr>
          <w:sz w:val="20"/>
          <w:lang w:val="en-US"/>
        </w:rPr>
        <w:t>ealth indicators.</w:t>
      </w:r>
    </w:p>
    <w:p w14:paraId="3361FE1B" w14:textId="623D01A7" w:rsidR="00D23895" w:rsidRDefault="00E13436" w:rsidP="00D23895">
      <w:pPr>
        <w:pStyle w:val="NormalDanone"/>
        <w:rPr>
          <w:sz w:val="20"/>
          <w:lang w:val="en-US"/>
        </w:rPr>
      </w:pPr>
      <w:r w:rsidRPr="00DF071E">
        <w:rPr>
          <w:sz w:val="20"/>
          <w:lang w:val="en-US"/>
        </w:rPr>
        <w:lastRenderedPageBreak/>
        <w:t xml:space="preserve">The </w:t>
      </w:r>
      <w:r w:rsidR="008F0EDE" w:rsidRPr="00DF071E">
        <w:rPr>
          <w:sz w:val="20"/>
          <w:lang w:val="en-US"/>
        </w:rPr>
        <w:t>One H</w:t>
      </w:r>
      <w:r w:rsidRPr="00DF071E">
        <w:rPr>
          <w:sz w:val="20"/>
          <w:lang w:val="en-US"/>
        </w:rPr>
        <w:t xml:space="preserve">ealth indicators are </w:t>
      </w:r>
      <w:r w:rsidR="00D23895">
        <w:rPr>
          <w:sz w:val="20"/>
          <w:lang w:val="en-US"/>
        </w:rPr>
        <w:t xml:space="preserve">reported </w:t>
      </w:r>
      <w:r w:rsidR="00D23895" w:rsidRPr="00DF071E">
        <w:rPr>
          <w:sz w:val="20"/>
          <w:lang w:val="en-US"/>
        </w:rPr>
        <w:t xml:space="preserve">by the Scorecard Owner </w:t>
      </w:r>
      <w:r w:rsidR="00D23895">
        <w:rPr>
          <w:sz w:val="20"/>
          <w:lang w:val="en-US"/>
        </w:rPr>
        <w:t>of</w:t>
      </w:r>
      <w:r w:rsidR="00D23895" w:rsidRPr="00DF071E">
        <w:rPr>
          <w:sz w:val="20"/>
          <w:lang w:val="en-US"/>
        </w:rPr>
        <w:t xml:space="preserve"> each subsidiary</w:t>
      </w:r>
      <w:r w:rsidR="00D23895">
        <w:rPr>
          <w:sz w:val="20"/>
          <w:lang w:val="en-US"/>
        </w:rPr>
        <w:t xml:space="preserve"> in the scope,</w:t>
      </w:r>
      <w:r w:rsidR="00D23895" w:rsidRPr="00DF071E">
        <w:rPr>
          <w:sz w:val="20"/>
          <w:lang w:val="en-US"/>
        </w:rPr>
        <w:t xml:space="preserve"> through a system of standardized forms, which are then consolidated </w:t>
      </w:r>
      <w:r w:rsidR="00D23895">
        <w:rPr>
          <w:sz w:val="20"/>
          <w:lang w:val="en-US"/>
        </w:rPr>
        <w:t xml:space="preserve">by the Alimentation Science Department, </w:t>
      </w:r>
      <w:r w:rsidR="00D23895" w:rsidRPr="00DF071E">
        <w:rPr>
          <w:sz w:val="20"/>
          <w:lang w:val="en-US"/>
        </w:rPr>
        <w:t>using an automated process to calculate the global indicators</w:t>
      </w:r>
      <w:r w:rsidR="00D23895">
        <w:rPr>
          <w:sz w:val="20"/>
          <w:lang w:val="en-US"/>
        </w:rPr>
        <w:t>.</w:t>
      </w:r>
    </w:p>
    <w:p w14:paraId="6676AC42" w14:textId="6A141630" w:rsidR="00E13436" w:rsidRDefault="00D23895" w:rsidP="00E13436">
      <w:pPr>
        <w:pStyle w:val="NormalDanone"/>
        <w:rPr>
          <w:sz w:val="20"/>
          <w:lang w:val="en-US"/>
        </w:rPr>
      </w:pPr>
      <w:r>
        <w:rPr>
          <w:sz w:val="20"/>
          <w:lang w:val="en-US"/>
        </w:rPr>
        <w:t>The sources of data are multiple: p</w:t>
      </w:r>
      <w:r w:rsidR="00E13436" w:rsidRPr="00DF071E">
        <w:rPr>
          <w:sz w:val="20"/>
          <w:lang w:val="en-US"/>
        </w:rPr>
        <w:t>roduct data are generated by Business-specific systems (</w:t>
      </w:r>
      <w:r w:rsidR="00F114FB" w:rsidRPr="00DF071E">
        <w:rPr>
          <w:sz w:val="20"/>
          <w:lang w:val="en-US"/>
        </w:rPr>
        <w:t>NutriPride</w:t>
      </w:r>
      <w:r w:rsidR="00E13436" w:rsidRPr="00DF071E">
        <w:rPr>
          <w:sz w:val="20"/>
          <w:lang w:val="en-US"/>
        </w:rPr>
        <w:t xml:space="preserve"> for the Essential Dairy and Plant-Based and Early Life Nutrition Businesses, and Aquamap for the Waters Business). Data on volumes are generated by Danone’s financial information consolidation software. Lastly, training data are taken from the Human Resources reporting systems.</w:t>
      </w:r>
    </w:p>
    <w:p w14:paraId="01628105" w14:textId="7E0005F2" w:rsidR="00D23895" w:rsidRPr="00DF071E" w:rsidRDefault="00D23895" w:rsidP="00D23895">
      <w:pPr>
        <w:pStyle w:val="NormalDanone"/>
        <w:rPr>
          <w:sz w:val="20"/>
          <w:lang w:val="en-US"/>
        </w:rPr>
      </w:pPr>
      <w:r>
        <w:rPr>
          <w:sz w:val="20"/>
          <w:lang w:val="en-US"/>
        </w:rPr>
        <w:t>There are several levels of verification: d</w:t>
      </w:r>
      <w:r w:rsidRPr="00DF071E">
        <w:rPr>
          <w:sz w:val="20"/>
          <w:lang w:val="en-US"/>
        </w:rPr>
        <w:t xml:space="preserve">ata are checked at the subsidiary level and then at the Business level when reported. The data are then verified by the </w:t>
      </w:r>
      <w:r w:rsidR="00EB16E0">
        <w:rPr>
          <w:sz w:val="20"/>
          <w:lang w:val="en-US"/>
        </w:rPr>
        <w:t>Alimentation Science Department</w:t>
      </w:r>
      <w:r w:rsidRPr="00DF071E">
        <w:rPr>
          <w:sz w:val="20"/>
          <w:lang w:val="en-US"/>
        </w:rPr>
        <w:t xml:space="preserve"> and independent auditors.</w:t>
      </w:r>
    </w:p>
    <w:p w14:paraId="4E5CF0A8" w14:textId="10E30CF5" w:rsidR="004C3126" w:rsidRDefault="004C3126">
      <w:pPr>
        <w:spacing w:after="200" w:line="276" w:lineRule="auto"/>
        <w:jc w:val="left"/>
        <w:rPr>
          <w:b/>
          <w:iCs/>
          <w:color w:val="31849B"/>
          <w:sz w:val="24"/>
          <w:szCs w:val="24"/>
          <w:lang w:val="en-US"/>
        </w:rPr>
      </w:pPr>
    </w:p>
    <w:p w14:paraId="4474E200" w14:textId="375B8DD5" w:rsidR="00E13436" w:rsidRPr="0080703A" w:rsidRDefault="00E13436" w:rsidP="0080703A">
      <w:pPr>
        <w:pStyle w:val="Titre5Danone"/>
        <w:rPr>
          <w:b w:val="0"/>
          <w:sz w:val="24"/>
          <w:lang w:val="en-US"/>
        </w:rPr>
      </w:pPr>
      <w:r w:rsidRPr="0080703A">
        <w:rPr>
          <w:b w:val="0"/>
          <w:sz w:val="24"/>
          <w:lang w:val="en-US"/>
        </w:rPr>
        <w:t>Information regarding methodologies</w:t>
      </w:r>
    </w:p>
    <w:p w14:paraId="530EFCC1" w14:textId="58CB6E5C" w:rsidR="00E13436" w:rsidRPr="00DF071E" w:rsidRDefault="00E13436" w:rsidP="00E13436">
      <w:pPr>
        <w:pStyle w:val="NormalDanone"/>
        <w:rPr>
          <w:sz w:val="20"/>
          <w:lang w:val="en-US"/>
        </w:rPr>
      </w:pPr>
      <w:r w:rsidRPr="00DF071E">
        <w:rPr>
          <w:sz w:val="20"/>
          <w:lang w:val="en-US"/>
        </w:rPr>
        <w:t>The methodologies used for certain indicators may have limits due to:</w:t>
      </w:r>
    </w:p>
    <w:p w14:paraId="01036164" w14:textId="77777777" w:rsidR="00E13436" w:rsidRPr="00DF071E" w:rsidRDefault="00E13436" w:rsidP="00E13436">
      <w:pPr>
        <w:pStyle w:val="ListeDanone"/>
        <w:rPr>
          <w:sz w:val="20"/>
          <w:lang w:val="en-US"/>
        </w:rPr>
      </w:pPr>
      <w:r w:rsidRPr="00DF071E">
        <w:rPr>
          <w:sz w:val="20"/>
          <w:lang w:val="en-US"/>
        </w:rPr>
        <w:t>the absence of common national and/or international definitions;</w:t>
      </w:r>
    </w:p>
    <w:p w14:paraId="79BBF4AB" w14:textId="77777777" w:rsidR="00E13436" w:rsidRPr="00DF071E" w:rsidRDefault="00E13436" w:rsidP="00E13436">
      <w:pPr>
        <w:pStyle w:val="ListeDanone"/>
        <w:rPr>
          <w:sz w:val="20"/>
          <w:lang w:val="en-US"/>
        </w:rPr>
      </w:pPr>
      <w:r w:rsidRPr="00DF071E">
        <w:rPr>
          <w:sz w:val="20"/>
          <w:lang w:val="en-US"/>
        </w:rPr>
        <w:t xml:space="preserve">necessary estimates, the representative nature of measurements </w:t>
      </w:r>
      <w:proofErr w:type="gramStart"/>
      <w:r w:rsidRPr="00DF071E">
        <w:rPr>
          <w:sz w:val="20"/>
          <w:lang w:val="en-US"/>
        </w:rPr>
        <w:t>taken</w:t>
      </w:r>
      <w:proofErr w:type="gramEnd"/>
      <w:r w:rsidRPr="00DF071E">
        <w:rPr>
          <w:sz w:val="20"/>
          <w:lang w:val="en-US"/>
        </w:rPr>
        <w:t xml:space="preserve"> or the limited availability of external data required for calculations.</w:t>
      </w:r>
    </w:p>
    <w:p w14:paraId="3AA63EEE" w14:textId="0675CA5E" w:rsidR="00E13436" w:rsidRPr="00DF071E" w:rsidRDefault="00E13436" w:rsidP="00E13436">
      <w:pPr>
        <w:pStyle w:val="NormalDanone"/>
        <w:rPr>
          <w:sz w:val="20"/>
          <w:lang w:val="en-US"/>
        </w:rPr>
      </w:pPr>
      <w:r w:rsidRPr="00DF071E">
        <w:rPr>
          <w:sz w:val="20"/>
          <w:lang w:val="en-US"/>
        </w:rPr>
        <w:t>For these reasons, the definitions and methodologies used for the following indicators are specified.</w:t>
      </w:r>
    </w:p>
    <w:p w14:paraId="6FE1245B" w14:textId="77777777" w:rsidR="00FA60CE" w:rsidRPr="007B5D35" w:rsidRDefault="00FA60CE" w:rsidP="00E13436">
      <w:pPr>
        <w:pStyle w:val="NormalDanone"/>
        <w:rPr>
          <w:sz w:val="24"/>
          <w:lang w:val="en-US"/>
        </w:rPr>
      </w:pPr>
    </w:p>
    <w:p w14:paraId="5659742D" w14:textId="77777777" w:rsidR="00442384" w:rsidRPr="003B4FB3" w:rsidRDefault="00442384" w:rsidP="0080703A">
      <w:pPr>
        <w:pStyle w:val="Titre5Danone"/>
        <w:rPr>
          <w:sz w:val="24"/>
          <w:lang w:val="en-US"/>
        </w:rPr>
      </w:pPr>
      <w:r w:rsidRPr="0080703A">
        <w:rPr>
          <w:b w:val="0"/>
          <w:sz w:val="24"/>
          <w:lang w:val="en-US"/>
        </w:rPr>
        <w:t>Employees</w:t>
      </w:r>
    </w:p>
    <w:p w14:paraId="40CAB645" w14:textId="46446570" w:rsidR="00442384" w:rsidRPr="00DF071E" w:rsidRDefault="00442384" w:rsidP="00442384">
      <w:pPr>
        <w:pStyle w:val="NormalDanone"/>
        <w:rPr>
          <w:sz w:val="20"/>
          <w:lang w:val="en-US"/>
        </w:rPr>
      </w:pPr>
      <w:r w:rsidRPr="00DF071E">
        <w:rPr>
          <w:sz w:val="20"/>
          <w:lang w:val="en-US"/>
        </w:rPr>
        <w:t xml:space="preserve">A negligible portion of the managerial </w:t>
      </w:r>
      <w:proofErr w:type="gramStart"/>
      <w:r w:rsidRPr="00DF071E">
        <w:rPr>
          <w:sz w:val="20"/>
          <w:lang w:val="en-US"/>
        </w:rPr>
        <w:t>employees</w:t>
      </w:r>
      <w:proofErr w:type="gramEnd"/>
      <w:r w:rsidRPr="00DF071E">
        <w:rPr>
          <w:sz w:val="20"/>
          <w:lang w:val="en-US"/>
        </w:rPr>
        <w:t xml:space="preserve"> data is not collected during the data reporting period (a few cases of internationally mobile employees on assignment at other Danone entities). Furthermore, some disparities may exist in the employees accounting methods for expatriate employees (such is the case for expatriate employees who have three-party contracts between the employee, the home subsidiary and the host subsidiary).</w:t>
      </w:r>
    </w:p>
    <w:p w14:paraId="3BBF3954" w14:textId="77777777" w:rsidR="00442384" w:rsidRPr="00DF071E" w:rsidRDefault="00442384" w:rsidP="00442384">
      <w:pPr>
        <w:pStyle w:val="NormalDanone"/>
        <w:rPr>
          <w:sz w:val="20"/>
          <w:lang w:val="en-US"/>
        </w:rPr>
      </w:pPr>
      <w:r w:rsidRPr="00DF071E">
        <w:rPr>
          <w:sz w:val="20"/>
          <w:lang w:val="en-US"/>
        </w:rPr>
        <w:t>Employees on long-term leave (more than nine months) are not counted in the total employees at the end of the reporting period.</w:t>
      </w:r>
    </w:p>
    <w:p w14:paraId="32071133" w14:textId="585163F9" w:rsidR="00442384" w:rsidRPr="00DF071E" w:rsidRDefault="00442384" w:rsidP="00442384">
      <w:pPr>
        <w:pStyle w:val="NormalDanone"/>
        <w:rPr>
          <w:sz w:val="20"/>
          <w:lang w:val="en-US"/>
        </w:rPr>
      </w:pPr>
      <w:r w:rsidRPr="00DF071E">
        <w:rPr>
          <w:sz w:val="20"/>
          <w:lang w:val="en-US"/>
        </w:rPr>
        <w:t>In China, employees paid by Danone but whose contracts are with a third-party company (equivalent to a temporary work agency) are not included in the total employees.</w:t>
      </w:r>
    </w:p>
    <w:p w14:paraId="542BA885" w14:textId="224A2ED1" w:rsidR="00442384" w:rsidRPr="00DF071E" w:rsidRDefault="00442384" w:rsidP="00442384">
      <w:pPr>
        <w:pStyle w:val="NormalDanone"/>
        <w:rPr>
          <w:sz w:val="20"/>
          <w:lang w:val="en-US"/>
        </w:rPr>
      </w:pPr>
      <w:r w:rsidRPr="00DF071E">
        <w:rPr>
          <w:sz w:val="20"/>
          <w:lang w:val="en-US"/>
        </w:rPr>
        <w:t>Fixed-term contracts and movements within Danone are not included in the entries/exits.</w:t>
      </w:r>
    </w:p>
    <w:p w14:paraId="12F2C5F8" w14:textId="1977560F" w:rsidR="002D6E5C" w:rsidRPr="007B5D35" w:rsidRDefault="002D6E5C" w:rsidP="00442384">
      <w:pPr>
        <w:pStyle w:val="NormalDanone"/>
        <w:rPr>
          <w:sz w:val="24"/>
          <w:lang w:val="en-US"/>
        </w:rPr>
      </w:pPr>
    </w:p>
    <w:p w14:paraId="4DDFE7C4" w14:textId="1D00AC0F" w:rsidR="000602D8" w:rsidRPr="0080703A" w:rsidRDefault="000602D8" w:rsidP="0080703A">
      <w:pPr>
        <w:pStyle w:val="Titre5Danone"/>
        <w:rPr>
          <w:b w:val="0"/>
          <w:sz w:val="24"/>
          <w:lang w:val="en-US"/>
        </w:rPr>
      </w:pPr>
      <w:r w:rsidRPr="0080703A">
        <w:rPr>
          <w:b w:val="0"/>
          <w:sz w:val="24"/>
          <w:lang w:val="en-US"/>
        </w:rPr>
        <w:t xml:space="preserve">Number of countries covered by Nutritional </w:t>
      </w:r>
      <w:r w:rsidR="007B5D35" w:rsidRPr="0080703A">
        <w:rPr>
          <w:b w:val="0"/>
          <w:sz w:val="24"/>
          <w:lang w:val="en-US"/>
        </w:rPr>
        <w:t>S</w:t>
      </w:r>
      <w:r w:rsidRPr="0080703A">
        <w:rPr>
          <w:b w:val="0"/>
          <w:sz w:val="24"/>
          <w:lang w:val="en-US"/>
        </w:rPr>
        <w:t>ituations studies</w:t>
      </w:r>
    </w:p>
    <w:p w14:paraId="77F8E77B" w14:textId="51312297" w:rsidR="000602D8" w:rsidRDefault="000602D8" w:rsidP="000602D8">
      <w:pPr>
        <w:pStyle w:val="NormalDanone"/>
        <w:rPr>
          <w:sz w:val="20"/>
          <w:lang w:val="en-US"/>
        </w:rPr>
      </w:pPr>
      <w:r>
        <w:rPr>
          <w:sz w:val="20"/>
          <w:lang w:val="en-US"/>
        </w:rPr>
        <w:t>A</w:t>
      </w:r>
      <w:r w:rsidRPr="00DF071E">
        <w:rPr>
          <w:sz w:val="20"/>
          <w:lang w:val="en-US"/>
        </w:rPr>
        <w:t xml:space="preserve">t end of </w:t>
      </w:r>
      <w:r>
        <w:rPr>
          <w:sz w:val="20"/>
          <w:lang w:val="en-US"/>
        </w:rPr>
        <w:t xml:space="preserve">each </w:t>
      </w:r>
      <w:r w:rsidRPr="00DF071E">
        <w:rPr>
          <w:sz w:val="20"/>
          <w:lang w:val="en-US"/>
        </w:rPr>
        <w:t xml:space="preserve">year, the Alimentation Science </w:t>
      </w:r>
      <w:r>
        <w:rPr>
          <w:sz w:val="20"/>
          <w:lang w:val="en-US"/>
        </w:rPr>
        <w:t>D</w:t>
      </w:r>
      <w:r w:rsidRPr="00DF071E">
        <w:rPr>
          <w:sz w:val="20"/>
          <w:lang w:val="en-US"/>
        </w:rPr>
        <w:t xml:space="preserve">epartment compiles an updated list of countries </w:t>
      </w:r>
      <w:r w:rsidR="00E44F87">
        <w:rPr>
          <w:sz w:val="20"/>
          <w:lang w:val="en-US"/>
        </w:rPr>
        <w:t xml:space="preserve">or regions </w:t>
      </w:r>
      <w:r w:rsidRPr="00DF071E">
        <w:rPr>
          <w:sz w:val="20"/>
          <w:lang w:val="en-US"/>
        </w:rPr>
        <w:t>covered by Nutri</w:t>
      </w:r>
      <w:r>
        <w:rPr>
          <w:sz w:val="20"/>
          <w:lang w:val="en-US"/>
        </w:rPr>
        <w:t>tional Situations</w:t>
      </w:r>
      <w:r w:rsidRPr="00DF071E">
        <w:rPr>
          <w:sz w:val="20"/>
          <w:lang w:val="en-US"/>
        </w:rPr>
        <w:t xml:space="preserve"> studies (</w:t>
      </w:r>
      <w:r w:rsidR="0059317A">
        <w:rPr>
          <w:sz w:val="20"/>
          <w:lang w:val="en-US"/>
        </w:rPr>
        <w:t xml:space="preserve">also </w:t>
      </w:r>
      <w:r w:rsidR="00F114FB">
        <w:rPr>
          <w:sz w:val="20"/>
          <w:lang w:val="en-US"/>
        </w:rPr>
        <w:t>known</w:t>
      </w:r>
      <w:r w:rsidR="0059317A">
        <w:rPr>
          <w:sz w:val="20"/>
          <w:lang w:val="en-US"/>
        </w:rPr>
        <w:t xml:space="preserve"> as Nutriplanet or Nutripack).</w:t>
      </w:r>
    </w:p>
    <w:p w14:paraId="6508D345" w14:textId="7167AEDE" w:rsidR="00E44F87" w:rsidRPr="0059317A" w:rsidRDefault="00E44F87" w:rsidP="000602D8">
      <w:pPr>
        <w:pStyle w:val="NormalDanone"/>
        <w:rPr>
          <w:sz w:val="20"/>
        </w:rPr>
      </w:pPr>
      <w:r>
        <w:rPr>
          <w:sz w:val="20"/>
        </w:rPr>
        <w:t xml:space="preserve">If in a country a specific study has been conducted in a region of this country, it is counted in the total of countries covered by Nutritional studies. This is the case of China and the region Hong Kong. </w:t>
      </w:r>
    </w:p>
    <w:p w14:paraId="4515FDA1" w14:textId="55D0F93D" w:rsidR="0059317A" w:rsidRPr="00DF071E" w:rsidRDefault="0059317A" w:rsidP="0059317A">
      <w:pPr>
        <w:spacing w:after="200" w:line="276" w:lineRule="auto"/>
        <w:jc w:val="left"/>
        <w:rPr>
          <w:sz w:val="20"/>
          <w:lang w:val="en-US"/>
        </w:rPr>
      </w:pPr>
      <w:r>
        <w:rPr>
          <w:sz w:val="20"/>
          <w:lang w:val="en-US"/>
        </w:rPr>
        <w:t>Studies must not be prior to 20</w:t>
      </w:r>
      <w:r w:rsidR="00767C85">
        <w:rPr>
          <w:sz w:val="20"/>
          <w:lang w:val="en-US"/>
        </w:rPr>
        <w:t>09</w:t>
      </w:r>
      <w:r>
        <w:rPr>
          <w:sz w:val="20"/>
          <w:lang w:val="en-US"/>
        </w:rPr>
        <w:t>.</w:t>
      </w:r>
    </w:p>
    <w:p w14:paraId="010CF543" w14:textId="77777777" w:rsidR="002D6E5C" w:rsidRPr="007B5D35" w:rsidRDefault="002D6E5C" w:rsidP="002D6E5C">
      <w:pPr>
        <w:pStyle w:val="NormalDanone"/>
        <w:rPr>
          <w:sz w:val="24"/>
          <w:lang w:val="en-US"/>
        </w:rPr>
      </w:pPr>
    </w:p>
    <w:p w14:paraId="6929AAA8" w14:textId="174C6F63" w:rsidR="002D6E5C" w:rsidRPr="0080703A" w:rsidRDefault="003B4FB3" w:rsidP="0080703A">
      <w:pPr>
        <w:pStyle w:val="Titre5Danone"/>
        <w:rPr>
          <w:b w:val="0"/>
          <w:sz w:val="24"/>
          <w:lang w:val="en-US"/>
        </w:rPr>
      </w:pPr>
      <w:r w:rsidRPr="0080703A">
        <w:rPr>
          <w:b w:val="0"/>
          <w:sz w:val="24"/>
          <w:lang w:val="en-US"/>
        </w:rPr>
        <w:t xml:space="preserve">Number of countries covered by </w:t>
      </w:r>
      <w:r w:rsidR="002D6E5C" w:rsidRPr="0080703A">
        <w:rPr>
          <w:b w:val="0"/>
          <w:sz w:val="24"/>
          <w:lang w:val="en-US"/>
        </w:rPr>
        <w:t>F</w:t>
      </w:r>
      <w:r w:rsidR="000602D8" w:rsidRPr="0080703A">
        <w:rPr>
          <w:b w:val="0"/>
          <w:sz w:val="24"/>
          <w:lang w:val="en-US"/>
        </w:rPr>
        <w:t>ood Habits</w:t>
      </w:r>
      <w:r w:rsidR="002D6E5C" w:rsidRPr="0080703A">
        <w:rPr>
          <w:b w:val="0"/>
          <w:sz w:val="24"/>
          <w:lang w:val="en-US"/>
        </w:rPr>
        <w:t xml:space="preserve"> </w:t>
      </w:r>
      <w:r w:rsidRPr="0080703A">
        <w:rPr>
          <w:b w:val="0"/>
          <w:sz w:val="24"/>
          <w:lang w:val="en-US"/>
        </w:rPr>
        <w:t>studies</w:t>
      </w:r>
    </w:p>
    <w:p w14:paraId="33C4EC36" w14:textId="77777777" w:rsidR="000602D8" w:rsidRDefault="000A1968" w:rsidP="00B34675">
      <w:pPr>
        <w:spacing w:after="200" w:line="276" w:lineRule="auto"/>
        <w:jc w:val="left"/>
        <w:rPr>
          <w:sz w:val="20"/>
          <w:lang w:val="en-US"/>
        </w:rPr>
      </w:pPr>
      <w:r>
        <w:rPr>
          <w:sz w:val="20"/>
          <w:lang w:val="en-US"/>
        </w:rPr>
        <w:t>A</w:t>
      </w:r>
      <w:r w:rsidRPr="00DF071E">
        <w:rPr>
          <w:sz w:val="20"/>
          <w:lang w:val="en-US"/>
        </w:rPr>
        <w:t xml:space="preserve">t end of </w:t>
      </w:r>
      <w:r>
        <w:rPr>
          <w:sz w:val="20"/>
          <w:lang w:val="en-US"/>
        </w:rPr>
        <w:t xml:space="preserve">each </w:t>
      </w:r>
      <w:r w:rsidR="003B4FB3" w:rsidRPr="00DF071E">
        <w:rPr>
          <w:sz w:val="20"/>
          <w:lang w:val="en-US"/>
        </w:rPr>
        <w:t xml:space="preserve">year, the Alimentation Science </w:t>
      </w:r>
      <w:r w:rsidR="003B4FB3">
        <w:rPr>
          <w:sz w:val="20"/>
          <w:lang w:val="en-US"/>
        </w:rPr>
        <w:t>D</w:t>
      </w:r>
      <w:r w:rsidR="003B4FB3" w:rsidRPr="00DF071E">
        <w:rPr>
          <w:sz w:val="20"/>
          <w:lang w:val="en-US"/>
        </w:rPr>
        <w:t xml:space="preserve">epartment compiles an updated list of countries </w:t>
      </w:r>
      <w:r w:rsidR="002D6E5C" w:rsidRPr="00DF071E">
        <w:rPr>
          <w:sz w:val="20"/>
          <w:lang w:val="en-US"/>
        </w:rPr>
        <w:t xml:space="preserve">covered by specific </w:t>
      </w:r>
      <w:r w:rsidR="000602D8">
        <w:rPr>
          <w:sz w:val="20"/>
          <w:lang w:val="en-US"/>
        </w:rPr>
        <w:t xml:space="preserve">dietary intakes studies and </w:t>
      </w:r>
      <w:r w:rsidR="002D6E5C" w:rsidRPr="00DF071E">
        <w:rPr>
          <w:sz w:val="20"/>
          <w:lang w:val="en-US"/>
        </w:rPr>
        <w:t>fluid intake</w:t>
      </w:r>
      <w:r w:rsidR="000602D8">
        <w:rPr>
          <w:sz w:val="20"/>
          <w:lang w:val="en-US"/>
        </w:rPr>
        <w:t>s</w:t>
      </w:r>
      <w:r w:rsidR="002D6E5C" w:rsidRPr="00DF071E">
        <w:rPr>
          <w:sz w:val="20"/>
          <w:lang w:val="en-US"/>
        </w:rPr>
        <w:t xml:space="preserve"> studies</w:t>
      </w:r>
      <w:r w:rsidR="000602D8">
        <w:rPr>
          <w:sz w:val="20"/>
          <w:lang w:val="en-US"/>
        </w:rPr>
        <w:t xml:space="preserve"> (specific for the Waters business)</w:t>
      </w:r>
      <w:r w:rsidR="002D6E5C" w:rsidRPr="00DF071E">
        <w:rPr>
          <w:sz w:val="20"/>
          <w:lang w:val="en-US"/>
        </w:rPr>
        <w:t>.</w:t>
      </w:r>
      <w:r>
        <w:rPr>
          <w:sz w:val="20"/>
          <w:lang w:val="en-US"/>
        </w:rPr>
        <w:t xml:space="preserve"> </w:t>
      </w:r>
    </w:p>
    <w:p w14:paraId="1DD1C5F1" w14:textId="06A79F12" w:rsidR="00B34675" w:rsidRDefault="000A1968" w:rsidP="00B34675">
      <w:pPr>
        <w:spacing w:after="200" w:line="276" w:lineRule="auto"/>
        <w:jc w:val="left"/>
        <w:rPr>
          <w:sz w:val="20"/>
          <w:lang w:val="en-US"/>
        </w:rPr>
      </w:pPr>
      <w:r>
        <w:rPr>
          <w:sz w:val="20"/>
          <w:lang w:val="en-US"/>
        </w:rPr>
        <w:t xml:space="preserve">Studies must not be </w:t>
      </w:r>
      <w:r w:rsidR="000602D8">
        <w:rPr>
          <w:sz w:val="20"/>
          <w:lang w:val="en-US"/>
        </w:rPr>
        <w:t>prior to</w:t>
      </w:r>
      <w:r>
        <w:rPr>
          <w:sz w:val="20"/>
          <w:lang w:val="en-US"/>
        </w:rPr>
        <w:t xml:space="preserve"> 201</w:t>
      </w:r>
      <w:r w:rsidR="008B338F">
        <w:rPr>
          <w:sz w:val="20"/>
          <w:lang w:val="en-US"/>
        </w:rPr>
        <w:t>3</w:t>
      </w:r>
      <w:r>
        <w:rPr>
          <w:sz w:val="20"/>
          <w:lang w:val="en-US"/>
        </w:rPr>
        <w:t>.</w:t>
      </w:r>
    </w:p>
    <w:p w14:paraId="68FD3CCC" w14:textId="77777777" w:rsidR="007B5D35" w:rsidRPr="007B5D35" w:rsidRDefault="007B5D35" w:rsidP="00B34675">
      <w:pPr>
        <w:spacing w:after="200" w:line="276" w:lineRule="auto"/>
        <w:jc w:val="left"/>
        <w:rPr>
          <w:sz w:val="24"/>
          <w:lang w:val="en-US"/>
        </w:rPr>
      </w:pPr>
    </w:p>
    <w:p w14:paraId="1B0E77EC" w14:textId="47D42376" w:rsidR="000602D8" w:rsidRPr="0080703A" w:rsidRDefault="000602D8" w:rsidP="0080703A">
      <w:pPr>
        <w:pStyle w:val="Titre5Danone"/>
        <w:rPr>
          <w:b w:val="0"/>
          <w:sz w:val="24"/>
          <w:lang w:val="en-US"/>
        </w:rPr>
      </w:pPr>
      <w:r w:rsidRPr="0080703A">
        <w:rPr>
          <w:b w:val="0"/>
          <w:sz w:val="24"/>
          <w:lang w:val="en-US"/>
        </w:rPr>
        <w:lastRenderedPageBreak/>
        <w:t>Number of countries covered by Food Cultures studies</w:t>
      </w:r>
    </w:p>
    <w:p w14:paraId="5649E2A1" w14:textId="31AC637A" w:rsidR="000602D8" w:rsidRDefault="000602D8" w:rsidP="000602D8">
      <w:pPr>
        <w:spacing w:after="200" w:line="276" w:lineRule="auto"/>
        <w:jc w:val="left"/>
        <w:rPr>
          <w:sz w:val="20"/>
          <w:lang w:val="en-US"/>
        </w:rPr>
      </w:pPr>
      <w:r>
        <w:rPr>
          <w:sz w:val="20"/>
          <w:lang w:val="en-US"/>
        </w:rPr>
        <w:t>A</w:t>
      </w:r>
      <w:r w:rsidRPr="00DF071E">
        <w:rPr>
          <w:sz w:val="20"/>
          <w:lang w:val="en-US"/>
        </w:rPr>
        <w:t xml:space="preserve">t end of </w:t>
      </w:r>
      <w:r>
        <w:rPr>
          <w:sz w:val="20"/>
          <w:lang w:val="en-US"/>
        </w:rPr>
        <w:t xml:space="preserve">each </w:t>
      </w:r>
      <w:r w:rsidRPr="00DF071E">
        <w:rPr>
          <w:sz w:val="20"/>
          <w:lang w:val="en-US"/>
        </w:rPr>
        <w:t xml:space="preserve">year, the Alimentation Science </w:t>
      </w:r>
      <w:r>
        <w:rPr>
          <w:sz w:val="20"/>
          <w:lang w:val="en-US"/>
        </w:rPr>
        <w:t>D</w:t>
      </w:r>
      <w:r w:rsidRPr="00DF071E">
        <w:rPr>
          <w:sz w:val="20"/>
          <w:lang w:val="en-US"/>
        </w:rPr>
        <w:t xml:space="preserve">epartment compiles an updated list of countries covered by </w:t>
      </w:r>
      <w:r>
        <w:rPr>
          <w:sz w:val="20"/>
          <w:lang w:val="en-US"/>
        </w:rPr>
        <w:t>Food Cultures studies</w:t>
      </w:r>
      <w:r w:rsidRPr="00DF071E">
        <w:rPr>
          <w:sz w:val="20"/>
          <w:lang w:val="en-US"/>
        </w:rPr>
        <w:t>.</w:t>
      </w:r>
      <w:r>
        <w:rPr>
          <w:sz w:val="20"/>
          <w:lang w:val="en-US"/>
        </w:rPr>
        <w:t xml:space="preserve"> Studies must not be prior to 2013.</w:t>
      </w:r>
    </w:p>
    <w:p w14:paraId="3D7102D5" w14:textId="77777777" w:rsidR="00DB6EBD" w:rsidRPr="00DF071E" w:rsidRDefault="00DB6EBD" w:rsidP="000602D8">
      <w:pPr>
        <w:spacing w:after="200" w:line="276" w:lineRule="auto"/>
        <w:jc w:val="left"/>
        <w:rPr>
          <w:sz w:val="20"/>
          <w:lang w:val="en-US"/>
        </w:rPr>
      </w:pPr>
    </w:p>
    <w:p w14:paraId="43EA18D4" w14:textId="354477D6" w:rsidR="001108F9" w:rsidRPr="00DF071E" w:rsidRDefault="00455731" w:rsidP="001108F9">
      <w:pPr>
        <w:pStyle w:val="Titre5Danone"/>
        <w:rPr>
          <w:b w:val="0"/>
          <w:sz w:val="24"/>
          <w:lang w:val="en-US"/>
        </w:rPr>
      </w:pPr>
      <w:bookmarkStart w:id="1" w:name="_Hlk10792687"/>
      <w:r>
        <w:rPr>
          <w:noProof/>
          <w:lang w:val="en-US"/>
        </w:rPr>
        <w:drawing>
          <wp:inline distT="0" distB="0" distL="0" distR="0" wp14:anchorId="7999FC3A" wp14:editId="06D24964">
            <wp:extent cx="323105" cy="319589"/>
            <wp:effectExtent l="0" t="0" r="127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lo icon.PNG"/>
                    <pic:cNvPicPr/>
                  </pic:nvPicPr>
                  <pic:blipFill rotWithShape="1">
                    <a:blip r:embed="rId12" cstate="print">
                      <a:biLevel thresh="75000"/>
                      <a:extLst>
                        <a:ext uri="{28A0092B-C50C-407E-A947-70E740481C1C}">
                          <a14:useLocalDpi xmlns:a14="http://schemas.microsoft.com/office/drawing/2010/main" val="0"/>
                        </a:ext>
                      </a:extLst>
                    </a:blip>
                    <a:srcRect l="18225" t="20699" r="15668" b="13302"/>
                    <a:stretch/>
                  </pic:blipFill>
                  <pic:spPr bwMode="auto">
                    <a:xfrm>
                      <a:off x="0" y="0"/>
                      <a:ext cx="324195" cy="320667"/>
                    </a:xfrm>
                    <a:prstGeom prst="rect">
                      <a:avLst/>
                    </a:prstGeom>
                    <a:ln>
                      <a:noFill/>
                    </a:ln>
                    <a:extLst>
                      <a:ext uri="{53640926-AAD7-44D8-BBD7-CCE9431645EC}">
                        <a14:shadowObscured xmlns:a14="http://schemas.microsoft.com/office/drawing/2010/main"/>
                      </a:ext>
                    </a:extLst>
                  </pic:spPr>
                </pic:pic>
              </a:graphicData>
            </a:graphic>
          </wp:inline>
        </w:drawing>
      </w:r>
      <w:r>
        <w:rPr>
          <w:b w:val="0"/>
          <w:noProof/>
          <w:sz w:val="24"/>
          <w:lang w:val="en-US"/>
        </w:rPr>
        <w:t xml:space="preserve"> </w:t>
      </w:r>
      <w:r w:rsidR="001108F9" w:rsidRPr="0080703A">
        <w:rPr>
          <w:b w:val="0"/>
          <w:sz w:val="24"/>
          <w:lang w:val="en-US"/>
        </w:rPr>
        <w:t xml:space="preserve">For all </w:t>
      </w:r>
      <w:r w:rsidR="00146EC2" w:rsidRPr="0080703A">
        <w:rPr>
          <w:b w:val="0"/>
          <w:sz w:val="24"/>
          <w:lang w:val="en-US"/>
        </w:rPr>
        <w:t>i</w:t>
      </w:r>
      <w:r w:rsidR="001108F9" w:rsidRPr="0080703A">
        <w:rPr>
          <w:b w:val="0"/>
          <w:sz w:val="24"/>
          <w:lang w:val="en-US"/>
        </w:rPr>
        <w:t>ndicators on volumes</w:t>
      </w:r>
    </w:p>
    <w:p w14:paraId="631CDBAD" w14:textId="0688F8C7" w:rsidR="00F114FB" w:rsidRPr="00DF071E" w:rsidRDefault="00E94373" w:rsidP="00F114FB">
      <w:pPr>
        <w:pStyle w:val="NormalDanone"/>
        <w:rPr>
          <w:sz w:val="20"/>
          <w:lang w:val="en-US"/>
        </w:rPr>
      </w:pPr>
      <w:r w:rsidRPr="008B338F">
        <w:rPr>
          <w:sz w:val="20"/>
          <w:lang w:val="en-US"/>
        </w:rPr>
        <w:t>“Sales v</w:t>
      </w:r>
      <w:r w:rsidR="00B52C6D" w:rsidRPr="008B338F">
        <w:rPr>
          <w:sz w:val="20"/>
          <w:lang w:val="en-US"/>
        </w:rPr>
        <w:t>o</w:t>
      </w:r>
      <w:r w:rsidRPr="008B338F">
        <w:rPr>
          <w:sz w:val="20"/>
          <w:lang w:val="en-US"/>
        </w:rPr>
        <w:t xml:space="preserve">lumes” </w:t>
      </w:r>
      <w:r w:rsidR="00F114FB" w:rsidRPr="008B338F">
        <w:rPr>
          <w:sz w:val="20"/>
          <w:lang w:val="en-US"/>
        </w:rPr>
        <w:t>excludes all export</w:t>
      </w:r>
      <w:r w:rsidR="00F114FB" w:rsidRPr="00DF071E">
        <w:rPr>
          <w:sz w:val="20"/>
          <w:lang w:val="en-US"/>
        </w:rPr>
        <w:t xml:space="preserve"> volumes, non-food products, private labels (products manufactured for a non-Danone company) and sprays (for the Water </w:t>
      </w:r>
      <w:r w:rsidR="00F114FB" w:rsidRPr="00DF071E">
        <w:rPr>
          <w:sz w:val="20"/>
        </w:rPr>
        <w:t>business</w:t>
      </w:r>
      <w:r w:rsidR="00F114FB" w:rsidRPr="00DF071E">
        <w:rPr>
          <w:sz w:val="20"/>
          <w:lang w:val="en-US"/>
        </w:rPr>
        <w:t>)</w:t>
      </w:r>
      <w:r w:rsidR="00F114FB">
        <w:rPr>
          <w:sz w:val="20"/>
          <w:lang w:val="en-US"/>
        </w:rPr>
        <w:t>.</w:t>
      </w:r>
    </w:p>
    <w:p w14:paraId="72658FC5" w14:textId="3AE04E77" w:rsidR="001108F9" w:rsidRPr="00DF071E" w:rsidRDefault="001108F9" w:rsidP="001108F9">
      <w:pPr>
        <w:pStyle w:val="NormalDanone"/>
        <w:rPr>
          <w:sz w:val="20"/>
          <w:lang w:val="en-US"/>
        </w:rPr>
      </w:pPr>
      <w:r w:rsidRPr="00DF071E">
        <w:rPr>
          <w:sz w:val="20"/>
          <w:lang w:val="en-US"/>
        </w:rPr>
        <w:t>All figures are calculated on volumes of products as consumed.</w:t>
      </w:r>
      <w:r w:rsidR="00F114FB">
        <w:rPr>
          <w:sz w:val="20"/>
          <w:lang w:val="en-US"/>
        </w:rPr>
        <w:t xml:space="preserve"> </w:t>
      </w:r>
      <w:r w:rsidRPr="00DF071E">
        <w:rPr>
          <w:sz w:val="20"/>
          <w:lang w:val="en-US"/>
        </w:rPr>
        <w:t xml:space="preserve">A conversion factor </w:t>
      </w:r>
      <w:r w:rsidR="005B38CE" w:rsidRPr="00DF071E">
        <w:rPr>
          <w:sz w:val="20"/>
          <w:lang w:val="en-US"/>
        </w:rPr>
        <w:t xml:space="preserve">is </w:t>
      </w:r>
      <w:r w:rsidRPr="00DF071E">
        <w:rPr>
          <w:sz w:val="20"/>
          <w:lang w:val="en-US"/>
        </w:rPr>
        <w:t>applie</w:t>
      </w:r>
      <w:r w:rsidR="005B38CE" w:rsidRPr="00DF071E">
        <w:rPr>
          <w:sz w:val="20"/>
          <w:lang w:val="en-US"/>
        </w:rPr>
        <w:t>d</w:t>
      </w:r>
      <w:r w:rsidRPr="00DF071E">
        <w:rPr>
          <w:sz w:val="20"/>
          <w:lang w:val="en-US"/>
        </w:rPr>
        <w:t xml:space="preserve"> to give the volume that is </w:t>
      </w:r>
      <w:proofErr w:type="gramStart"/>
      <w:r w:rsidR="00E94373" w:rsidRPr="003F3BEF">
        <w:rPr>
          <w:sz w:val="20"/>
          <w:lang w:val="en-US"/>
        </w:rPr>
        <w:t>actually</w:t>
      </w:r>
      <w:r w:rsidRPr="00DF071E">
        <w:rPr>
          <w:sz w:val="20"/>
          <w:lang w:val="en-US"/>
        </w:rPr>
        <w:t xml:space="preserve"> consumed</w:t>
      </w:r>
      <w:proofErr w:type="gramEnd"/>
      <w:r w:rsidRPr="00DF071E">
        <w:rPr>
          <w:sz w:val="20"/>
          <w:lang w:val="en-US"/>
        </w:rPr>
        <w:t xml:space="preserve"> by </w:t>
      </w:r>
      <w:r w:rsidR="00E94373" w:rsidRPr="008B338F">
        <w:rPr>
          <w:sz w:val="20"/>
          <w:lang w:val="en-US"/>
        </w:rPr>
        <w:t>the</w:t>
      </w:r>
      <w:r w:rsidR="00E94373">
        <w:rPr>
          <w:sz w:val="20"/>
          <w:lang w:val="en-US"/>
        </w:rPr>
        <w:t xml:space="preserve"> </w:t>
      </w:r>
      <w:r w:rsidRPr="00DF071E">
        <w:rPr>
          <w:sz w:val="20"/>
          <w:lang w:val="en-US"/>
        </w:rPr>
        <w:t>consumer</w:t>
      </w:r>
      <w:r w:rsidR="007F7659" w:rsidRPr="00DF071E">
        <w:rPr>
          <w:sz w:val="20"/>
          <w:lang w:val="en-US"/>
        </w:rPr>
        <w:t xml:space="preserve"> </w:t>
      </w:r>
      <w:r w:rsidRPr="00DF071E">
        <w:rPr>
          <w:sz w:val="20"/>
          <w:lang w:val="en-US"/>
        </w:rPr>
        <w:t>(</w:t>
      </w:r>
      <w:r w:rsidR="007F7659" w:rsidRPr="00DF071E">
        <w:rPr>
          <w:sz w:val="20"/>
          <w:lang w:val="en-US"/>
        </w:rPr>
        <w:t>i.e.</w:t>
      </w:r>
      <w:r w:rsidRPr="00DF071E">
        <w:rPr>
          <w:sz w:val="20"/>
          <w:lang w:val="en-US"/>
        </w:rPr>
        <w:t xml:space="preserve"> </w:t>
      </w:r>
      <w:r w:rsidR="00E94373" w:rsidRPr="002C795C">
        <w:rPr>
          <w:sz w:val="20"/>
          <w:lang w:val="en-US"/>
        </w:rPr>
        <w:t xml:space="preserve">for a powder product what is counted is the “reconstituted” volumes </w:t>
      </w:r>
      <w:r w:rsidR="007F7659" w:rsidRPr="002C795C">
        <w:rPr>
          <w:sz w:val="20"/>
          <w:lang w:val="en-US"/>
        </w:rPr>
        <w:t xml:space="preserve">it means </w:t>
      </w:r>
      <w:r w:rsidR="00E94373" w:rsidRPr="002C795C">
        <w:rPr>
          <w:sz w:val="20"/>
          <w:lang w:val="en-US"/>
        </w:rPr>
        <w:t>powder</w:t>
      </w:r>
      <w:r w:rsidR="00E94373">
        <w:rPr>
          <w:sz w:val="20"/>
          <w:lang w:val="en-US"/>
        </w:rPr>
        <w:t xml:space="preserve"> </w:t>
      </w:r>
      <w:r w:rsidR="007F7659" w:rsidRPr="00DF071E">
        <w:rPr>
          <w:sz w:val="20"/>
          <w:lang w:val="en-US"/>
        </w:rPr>
        <w:t>added with a liquid</w:t>
      </w:r>
      <w:r w:rsidRPr="00DF071E">
        <w:rPr>
          <w:sz w:val="20"/>
          <w:lang w:val="en-US"/>
        </w:rPr>
        <w:t>)</w:t>
      </w:r>
      <w:r w:rsidR="00F114FB">
        <w:rPr>
          <w:sz w:val="20"/>
          <w:lang w:val="en-US"/>
        </w:rPr>
        <w:t xml:space="preserve">. </w:t>
      </w:r>
      <w:r w:rsidR="007F7659" w:rsidRPr="00DF071E">
        <w:rPr>
          <w:sz w:val="20"/>
          <w:lang w:val="en-US"/>
        </w:rPr>
        <w:t xml:space="preserve">It concerns mainly the </w:t>
      </w:r>
      <w:r w:rsidR="00F114FB" w:rsidRPr="00DF071E">
        <w:rPr>
          <w:sz w:val="20"/>
          <w:lang w:val="en-US"/>
        </w:rPr>
        <w:t xml:space="preserve">Early Life Nutrition </w:t>
      </w:r>
      <w:r w:rsidR="00F114FB">
        <w:rPr>
          <w:sz w:val="20"/>
          <w:lang w:val="en-US"/>
        </w:rPr>
        <w:t xml:space="preserve">and </w:t>
      </w:r>
      <w:r w:rsidR="00F114FB" w:rsidRPr="00DF071E">
        <w:rPr>
          <w:sz w:val="20"/>
          <w:lang w:val="en-US"/>
        </w:rPr>
        <w:t xml:space="preserve">Advanced Medical Nutrition </w:t>
      </w:r>
      <w:r w:rsidR="007F7659" w:rsidRPr="00DF071E">
        <w:rPr>
          <w:sz w:val="20"/>
          <w:lang w:val="en-US"/>
        </w:rPr>
        <w:t xml:space="preserve">products. Each subsidiary </w:t>
      </w:r>
      <w:r w:rsidR="00F114FB" w:rsidRPr="00DF071E">
        <w:rPr>
          <w:sz w:val="20"/>
          <w:lang w:val="en-US"/>
        </w:rPr>
        <w:t>must</w:t>
      </w:r>
      <w:r w:rsidR="007F7659" w:rsidRPr="00DF071E">
        <w:rPr>
          <w:sz w:val="20"/>
          <w:lang w:val="en-US"/>
        </w:rPr>
        <w:t xml:space="preserve"> use a common conversion table.</w:t>
      </w:r>
    </w:p>
    <w:p w14:paraId="4912CB3F" w14:textId="6F8F0DEB" w:rsidR="001108F9" w:rsidRPr="00455731" w:rsidRDefault="001108F9" w:rsidP="00E13436">
      <w:pPr>
        <w:pStyle w:val="NormalDanone"/>
        <w:rPr>
          <w:sz w:val="24"/>
          <w:lang w:val="en-US"/>
        </w:rPr>
      </w:pPr>
    </w:p>
    <w:bookmarkEnd w:id="1"/>
    <w:p w14:paraId="274A1484" w14:textId="50849D65" w:rsidR="00B6273F" w:rsidRPr="0080703A" w:rsidRDefault="00146EC2" w:rsidP="00B6273F">
      <w:pPr>
        <w:pStyle w:val="Titre5Danone"/>
        <w:rPr>
          <w:rFonts w:cs="Times New Roman"/>
          <w:bCs w:val="0"/>
          <w:sz w:val="24"/>
          <w:szCs w:val="24"/>
          <w:lang w:val="en-US"/>
        </w:rPr>
      </w:pPr>
      <w:r w:rsidRPr="00DF071E">
        <w:rPr>
          <w:b w:val="0"/>
          <w:noProof/>
          <w:sz w:val="24"/>
          <w:lang w:val="en-US"/>
        </w:rPr>
        <w:drawing>
          <wp:inline distT="0" distB="0" distL="0" distR="0" wp14:anchorId="7E8F8CE0" wp14:editId="499AF8A4">
            <wp:extent cx="360000" cy="360000"/>
            <wp:effectExtent l="0" t="0" r="2540" b="2540"/>
            <wp:docPr id="8" name="Graphique 8" descr="Fe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f.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0000" cy="360000"/>
                    </a:xfrm>
                    <a:prstGeom prst="rect">
                      <a:avLst/>
                    </a:prstGeom>
                  </pic:spPr>
                </pic:pic>
              </a:graphicData>
            </a:graphic>
          </wp:inline>
        </w:drawing>
      </w:r>
      <w:r w:rsidR="003F0547" w:rsidRPr="00DF071E">
        <w:rPr>
          <w:b w:val="0"/>
          <w:sz w:val="24"/>
          <w:lang w:val="en-US"/>
        </w:rPr>
        <w:t xml:space="preserve"> </w:t>
      </w:r>
      <w:r w:rsidR="002D6E5C" w:rsidRPr="0080703A">
        <w:rPr>
          <w:b w:val="0"/>
          <w:sz w:val="24"/>
          <w:lang w:val="en-US"/>
        </w:rPr>
        <w:t>Percentage of volumes sold in healthy categories</w:t>
      </w:r>
    </w:p>
    <w:p w14:paraId="0C91B160" w14:textId="477E4150" w:rsidR="002D6E5C" w:rsidRPr="002C795C" w:rsidRDefault="002D6E5C" w:rsidP="002D6E5C">
      <w:pPr>
        <w:pStyle w:val="Titre5Danone"/>
        <w:rPr>
          <w:rFonts w:cs="Times New Roman"/>
          <w:b w:val="0"/>
          <w:bCs w:val="0"/>
          <w:iCs w:val="0"/>
          <w:color w:val="000000" w:themeColor="text1"/>
          <w:szCs w:val="16"/>
          <w:lang w:val="en-US"/>
        </w:rPr>
      </w:pPr>
      <w:r w:rsidRPr="00DF071E">
        <w:rPr>
          <w:rFonts w:cs="Times New Roman"/>
          <w:b w:val="0"/>
          <w:bCs w:val="0"/>
          <w:iCs w:val="0"/>
          <w:color w:val="auto"/>
          <w:szCs w:val="16"/>
        </w:rPr>
        <w:t xml:space="preserve">This </w:t>
      </w:r>
      <w:r w:rsidRPr="00DF071E">
        <w:rPr>
          <w:rFonts w:cs="Times New Roman"/>
          <w:b w:val="0"/>
          <w:bCs w:val="0"/>
          <w:iCs w:val="0"/>
          <w:color w:val="000000" w:themeColor="text1"/>
          <w:szCs w:val="16"/>
          <w:lang w:val="en-US"/>
        </w:rPr>
        <w:t xml:space="preserve">indicator refers to </w:t>
      </w:r>
      <w:r w:rsidR="002C795C">
        <w:rPr>
          <w:rFonts w:cs="Times New Roman"/>
          <w:b w:val="0"/>
          <w:bCs w:val="0"/>
          <w:iCs w:val="0"/>
          <w:color w:val="000000" w:themeColor="text1"/>
          <w:szCs w:val="16"/>
          <w:lang w:val="en-US"/>
        </w:rPr>
        <w:t xml:space="preserve">plain </w:t>
      </w:r>
      <w:r w:rsidRPr="00DF071E">
        <w:rPr>
          <w:rFonts w:cs="Times New Roman"/>
          <w:b w:val="0"/>
          <w:bCs w:val="0"/>
          <w:iCs w:val="0"/>
          <w:color w:val="000000" w:themeColor="text1"/>
          <w:szCs w:val="16"/>
          <w:lang w:val="en-US"/>
        </w:rPr>
        <w:t xml:space="preserve">water, yogurt and other daily dairy products, baby milks &amp; foods (except finger </w:t>
      </w:r>
      <w:r w:rsidRPr="002C795C">
        <w:rPr>
          <w:rFonts w:cs="Times New Roman"/>
          <w:b w:val="0"/>
          <w:bCs w:val="0"/>
          <w:iCs w:val="0"/>
          <w:color w:val="000000" w:themeColor="text1"/>
          <w:szCs w:val="16"/>
          <w:lang w:val="en-US"/>
        </w:rPr>
        <w:t>foods and drinks), milks and milk powders, beverages with 0% sugar and medical nutrition</w:t>
      </w:r>
      <w:r w:rsidR="00396539" w:rsidRPr="002C795C">
        <w:rPr>
          <w:rFonts w:cs="Times New Roman"/>
          <w:b w:val="0"/>
          <w:bCs w:val="0"/>
          <w:iCs w:val="0"/>
          <w:color w:val="000000" w:themeColor="text1"/>
          <w:szCs w:val="16"/>
          <w:lang w:val="en-US"/>
        </w:rPr>
        <w:t xml:space="preserve"> products</w:t>
      </w:r>
      <w:r w:rsidRPr="002C795C">
        <w:rPr>
          <w:rFonts w:cs="Times New Roman"/>
          <w:b w:val="0"/>
          <w:bCs w:val="0"/>
          <w:iCs w:val="0"/>
          <w:color w:val="000000" w:themeColor="text1"/>
          <w:szCs w:val="16"/>
          <w:lang w:val="en-US"/>
        </w:rPr>
        <w:t>.</w:t>
      </w:r>
    </w:p>
    <w:p w14:paraId="077827FE" w14:textId="5C29EEF1" w:rsidR="007D01C5" w:rsidRPr="007D01C5" w:rsidRDefault="00E94373" w:rsidP="007D01C5">
      <w:pPr>
        <w:pStyle w:val="Titre5Danone"/>
        <w:rPr>
          <w:rFonts w:cs="Times New Roman"/>
          <w:b w:val="0"/>
          <w:bCs w:val="0"/>
          <w:iCs w:val="0"/>
          <w:color w:val="000000" w:themeColor="text1"/>
          <w:szCs w:val="16"/>
          <w:lang w:val="en-US"/>
        </w:rPr>
      </w:pPr>
      <w:r w:rsidRPr="002C795C">
        <w:rPr>
          <w:rFonts w:cs="Times New Roman"/>
          <w:b w:val="0"/>
          <w:bCs w:val="0"/>
          <w:iCs w:val="0"/>
          <w:color w:val="000000" w:themeColor="text1"/>
          <w:szCs w:val="16"/>
          <w:lang w:val="en-US"/>
        </w:rPr>
        <w:t>This indicator aims at assessing which part of the portfolio is or could be supported by official recommendations supporting a sustained or increased consumption</w:t>
      </w:r>
      <w:r w:rsidR="007D01C5" w:rsidRPr="002C795C">
        <w:rPr>
          <w:rFonts w:cs="Times New Roman"/>
          <w:b w:val="0"/>
          <w:bCs w:val="0"/>
          <w:iCs w:val="0"/>
          <w:color w:val="000000" w:themeColor="text1"/>
          <w:szCs w:val="16"/>
          <w:lang w:val="en-US"/>
        </w:rPr>
        <w:t>.</w:t>
      </w:r>
    </w:p>
    <w:p w14:paraId="4C4E5CAF" w14:textId="3EE007B6" w:rsidR="002D6E5C" w:rsidRPr="00455731" w:rsidRDefault="002D6E5C" w:rsidP="002D6E5C">
      <w:pPr>
        <w:pStyle w:val="NormalDanone"/>
        <w:rPr>
          <w:sz w:val="24"/>
          <w:lang w:val="en-US"/>
        </w:rPr>
      </w:pPr>
    </w:p>
    <w:p w14:paraId="754670E0" w14:textId="64B79219" w:rsidR="002D6E5C" w:rsidRPr="00DF071E" w:rsidRDefault="00146EC2" w:rsidP="002D6E5C">
      <w:pPr>
        <w:pStyle w:val="Titre5Danone"/>
        <w:rPr>
          <w:b w:val="0"/>
          <w:sz w:val="24"/>
          <w:lang w:val="en-US"/>
        </w:rPr>
      </w:pPr>
      <w:r w:rsidRPr="00DF071E">
        <w:rPr>
          <w:b w:val="0"/>
          <w:noProof/>
          <w:sz w:val="24"/>
          <w:lang w:val="en-US"/>
        </w:rPr>
        <w:drawing>
          <wp:inline distT="0" distB="0" distL="0" distR="0" wp14:anchorId="3695DC57" wp14:editId="43BF6343">
            <wp:extent cx="360000" cy="360000"/>
            <wp:effectExtent l="0" t="0" r="2540" b="2540"/>
            <wp:docPr id="9" name="Graphique 9" descr="Histogramme montrant une tendance à la ha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GraphUpwardTren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003F0547" w:rsidRPr="00DF071E">
        <w:rPr>
          <w:b w:val="0"/>
          <w:sz w:val="24"/>
          <w:lang w:val="en-US"/>
        </w:rPr>
        <w:t xml:space="preserve"> </w:t>
      </w:r>
      <w:r w:rsidR="002D6E5C" w:rsidRPr="0080703A">
        <w:rPr>
          <w:b w:val="0"/>
          <w:sz w:val="24"/>
          <w:lang w:val="en-US"/>
        </w:rPr>
        <w:t>Percentage of the volume of nutritionally improved products</w:t>
      </w:r>
    </w:p>
    <w:p w14:paraId="6A4400C8" w14:textId="49164132" w:rsidR="00B6273F" w:rsidRPr="00DF071E" w:rsidRDefault="002D6E5C" w:rsidP="002D6E5C">
      <w:pPr>
        <w:rPr>
          <w:sz w:val="20"/>
          <w:lang w:val="en-US"/>
        </w:rPr>
      </w:pPr>
      <w:r w:rsidRPr="00DF071E">
        <w:rPr>
          <w:sz w:val="20"/>
        </w:rPr>
        <w:t xml:space="preserve">This indicator is calculated for the product categories where it is relevant: </w:t>
      </w:r>
      <w:r w:rsidR="005B38CE" w:rsidRPr="00DF071E">
        <w:rPr>
          <w:sz w:val="20"/>
          <w:lang w:val="en-US"/>
        </w:rPr>
        <w:t xml:space="preserve">Essential </w:t>
      </w:r>
      <w:r w:rsidRPr="00DF071E">
        <w:rPr>
          <w:sz w:val="20"/>
        </w:rPr>
        <w:t>Dairy Products, Early Life Nutrition and sweetened Aquadrinks</w:t>
      </w:r>
      <w:r w:rsidR="00E94373">
        <w:rPr>
          <w:sz w:val="20"/>
        </w:rPr>
        <w:t xml:space="preserve">. </w:t>
      </w:r>
      <w:r w:rsidR="00E94373" w:rsidRPr="002C795C">
        <w:rPr>
          <w:sz w:val="20"/>
        </w:rPr>
        <w:t xml:space="preserve">It includes </w:t>
      </w:r>
      <w:r w:rsidRPr="002C795C">
        <w:rPr>
          <w:sz w:val="20"/>
          <w:lang w:val="en-US"/>
        </w:rPr>
        <w:t>volumes</w:t>
      </w:r>
      <w:r w:rsidRPr="00DF071E">
        <w:rPr>
          <w:sz w:val="20"/>
          <w:lang w:val="en-US"/>
        </w:rPr>
        <w:t xml:space="preserve"> of previously sweetened Aquadrinks whose sugar level has been reduced to 0g / 100mL, moving them to the sugar-free Aquadrinks category. </w:t>
      </w:r>
    </w:p>
    <w:p w14:paraId="66CA41FD" w14:textId="7F88AA77" w:rsidR="00321E63" w:rsidRPr="00DF071E" w:rsidRDefault="00F258F7" w:rsidP="00F258F7">
      <w:pPr>
        <w:pStyle w:val="NormalDanone"/>
        <w:rPr>
          <w:sz w:val="20"/>
          <w:lang w:val="en-US"/>
        </w:rPr>
      </w:pPr>
      <w:r w:rsidRPr="00DF071E">
        <w:rPr>
          <w:sz w:val="20"/>
          <w:lang w:val="en-US"/>
        </w:rPr>
        <w:t>By improvement, we understand</w:t>
      </w:r>
      <w:r w:rsidR="00CC3BC3" w:rsidRPr="00DF071E">
        <w:rPr>
          <w:sz w:val="20"/>
          <w:lang w:val="en-US"/>
        </w:rPr>
        <w:t xml:space="preserve"> a r</w:t>
      </w:r>
      <w:r w:rsidRPr="00DF071E">
        <w:rPr>
          <w:sz w:val="20"/>
          <w:lang w:val="en-US"/>
        </w:rPr>
        <w:t>eduction of the quantity of nutrients of public health concern (</w:t>
      </w:r>
      <w:r w:rsidR="00056D5F" w:rsidRPr="002C795C">
        <w:rPr>
          <w:sz w:val="20"/>
          <w:lang w:val="en-US"/>
        </w:rPr>
        <w:t xml:space="preserve">added </w:t>
      </w:r>
      <w:r w:rsidRPr="002C795C">
        <w:rPr>
          <w:sz w:val="20"/>
          <w:lang w:val="en-US"/>
        </w:rPr>
        <w:t>sugar</w:t>
      </w:r>
      <w:r w:rsidR="00056D5F" w:rsidRPr="002C795C">
        <w:rPr>
          <w:sz w:val="20"/>
          <w:lang w:val="en-US"/>
        </w:rPr>
        <w:t>s</w:t>
      </w:r>
      <w:r w:rsidRPr="002C795C">
        <w:rPr>
          <w:sz w:val="20"/>
          <w:lang w:val="en-US"/>
        </w:rPr>
        <w:t xml:space="preserve">, </w:t>
      </w:r>
      <w:r w:rsidR="00056D5F" w:rsidRPr="002C795C">
        <w:rPr>
          <w:sz w:val="20"/>
          <w:lang w:val="en-US"/>
        </w:rPr>
        <w:t xml:space="preserve">saturated </w:t>
      </w:r>
      <w:r w:rsidRPr="002C795C">
        <w:rPr>
          <w:sz w:val="20"/>
          <w:lang w:val="en-US"/>
        </w:rPr>
        <w:t>fat, salt</w:t>
      </w:r>
      <w:r w:rsidRPr="00DF071E">
        <w:rPr>
          <w:sz w:val="20"/>
          <w:lang w:val="en-US"/>
        </w:rPr>
        <w:t>)</w:t>
      </w:r>
      <w:r w:rsidR="00495E9A">
        <w:rPr>
          <w:sz w:val="20"/>
          <w:lang w:val="en-US"/>
        </w:rPr>
        <w:t>;</w:t>
      </w:r>
      <w:r w:rsidR="00CC3BC3" w:rsidRPr="00DF071E">
        <w:rPr>
          <w:sz w:val="20"/>
          <w:lang w:val="en-US"/>
        </w:rPr>
        <w:t xml:space="preserve"> an i</w:t>
      </w:r>
      <w:r w:rsidRPr="00DF071E">
        <w:rPr>
          <w:sz w:val="20"/>
          <w:lang w:val="en-US"/>
        </w:rPr>
        <w:t>mprovement of the quality of nutrients (fat quality, sugar quality)</w:t>
      </w:r>
      <w:r w:rsidR="00CC3BC3" w:rsidRPr="00DF071E">
        <w:rPr>
          <w:sz w:val="20"/>
          <w:lang w:val="en-US"/>
        </w:rPr>
        <w:t xml:space="preserve"> or </w:t>
      </w:r>
      <w:r w:rsidR="00CC3BC3" w:rsidRPr="002C795C">
        <w:rPr>
          <w:sz w:val="20"/>
          <w:lang w:val="en-US"/>
        </w:rPr>
        <w:t>a</w:t>
      </w:r>
      <w:r w:rsidR="00056D5F" w:rsidRPr="002C795C">
        <w:rPr>
          <w:sz w:val="20"/>
          <w:lang w:val="en-US"/>
        </w:rPr>
        <w:t xml:space="preserve">n increase in the quantity of shortfall </w:t>
      </w:r>
      <w:r w:rsidRPr="002C795C">
        <w:rPr>
          <w:sz w:val="20"/>
          <w:lang w:val="en-US"/>
        </w:rPr>
        <w:t>nutrients</w:t>
      </w:r>
      <w:r w:rsidRPr="00DF071E">
        <w:rPr>
          <w:sz w:val="20"/>
          <w:lang w:val="en-US"/>
        </w:rPr>
        <w:t xml:space="preserve"> (essential fatty acids, fibers, minerals, vitamins</w:t>
      </w:r>
      <w:r w:rsidR="00056D5F">
        <w:rPr>
          <w:sz w:val="20"/>
          <w:lang w:val="en-US"/>
        </w:rPr>
        <w:t xml:space="preserve">) </w:t>
      </w:r>
      <w:r w:rsidR="00056D5F" w:rsidRPr="002C795C">
        <w:rPr>
          <w:sz w:val="20"/>
          <w:lang w:val="en-US"/>
        </w:rPr>
        <w:t xml:space="preserve">or the addition of </w:t>
      </w:r>
      <w:r w:rsidRPr="002C795C">
        <w:rPr>
          <w:sz w:val="20"/>
          <w:lang w:val="en-US"/>
        </w:rPr>
        <w:t xml:space="preserve">functional </w:t>
      </w:r>
      <w:r w:rsidR="00056D5F" w:rsidRPr="002C795C">
        <w:rPr>
          <w:sz w:val="20"/>
          <w:lang w:val="en-US"/>
        </w:rPr>
        <w:t>ingredients</w:t>
      </w:r>
      <w:r w:rsidRPr="00DF071E">
        <w:rPr>
          <w:sz w:val="20"/>
          <w:lang w:val="en-US"/>
        </w:rPr>
        <w:t>.</w:t>
      </w:r>
    </w:p>
    <w:p w14:paraId="6ABAFD0D" w14:textId="07BB9BF6" w:rsidR="00CC3BC3" w:rsidRPr="00DF071E" w:rsidRDefault="00CC3BC3" w:rsidP="00CC3BC3">
      <w:pPr>
        <w:rPr>
          <w:sz w:val="20"/>
          <w:lang w:val="en-US"/>
        </w:rPr>
      </w:pPr>
      <w:r w:rsidRPr="00DF071E">
        <w:rPr>
          <w:sz w:val="20"/>
          <w:lang w:val="en-US"/>
        </w:rPr>
        <w:t xml:space="preserve">Only the volumes improved in the year 2018 were </w:t>
      </w:r>
      <w:r w:rsidR="00495E9A" w:rsidRPr="00DF071E">
        <w:rPr>
          <w:sz w:val="20"/>
          <w:lang w:val="en-US"/>
        </w:rPr>
        <w:t>considered</w:t>
      </w:r>
      <w:r w:rsidRPr="00DF071E">
        <w:rPr>
          <w:sz w:val="20"/>
          <w:lang w:val="en-US"/>
        </w:rPr>
        <w:t>, whereas previously a period of 3 years was requested.</w:t>
      </w:r>
    </w:p>
    <w:p w14:paraId="3693D745" w14:textId="60B64FA6" w:rsidR="00605471" w:rsidRPr="00455731" w:rsidRDefault="00605471" w:rsidP="00F258F7">
      <w:pPr>
        <w:pStyle w:val="NormalDanone"/>
        <w:rPr>
          <w:sz w:val="24"/>
          <w:lang w:val="en-US"/>
        </w:rPr>
      </w:pPr>
    </w:p>
    <w:p w14:paraId="0ED91C91" w14:textId="031D65A8" w:rsidR="00605471" w:rsidRPr="00DF071E" w:rsidRDefault="00DB1A87" w:rsidP="00605471">
      <w:pPr>
        <w:pStyle w:val="Titre5Danone"/>
        <w:rPr>
          <w:b w:val="0"/>
          <w:sz w:val="24"/>
          <w:lang w:val="en-US"/>
        </w:rPr>
      </w:pPr>
      <w:r>
        <w:rPr>
          <w:noProof/>
        </w:rPr>
        <mc:AlternateContent>
          <mc:Choice Requires="wps">
            <w:drawing>
              <wp:anchor distT="0" distB="0" distL="114300" distR="114300" simplePos="0" relativeHeight="251665408" behindDoc="0" locked="0" layoutInCell="1" allowOverlap="1" wp14:anchorId="06881BD7" wp14:editId="790DCF58">
                <wp:simplePos x="0" y="0"/>
                <wp:positionH relativeFrom="margin">
                  <wp:posOffset>16827</wp:posOffset>
                </wp:positionH>
                <wp:positionV relativeFrom="paragraph">
                  <wp:posOffset>88900</wp:posOffset>
                </wp:positionV>
                <wp:extent cx="288925" cy="290195"/>
                <wp:effectExtent l="0" t="0" r="34925" b="33655"/>
                <wp:wrapNone/>
                <wp:docPr id="27" name="Connecteur droit 27"/>
                <wp:cNvGraphicFramePr/>
                <a:graphic xmlns:a="http://schemas.openxmlformats.org/drawingml/2006/main">
                  <a:graphicData uri="http://schemas.microsoft.com/office/word/2010/wordprocessingShape">
                    <wps:wsp>
                      <wps:cNvCnPr/>
                      <wps:spPr>
                        <a:xfrm flipV="1">
                          <a:off x="0" y="0"/>
                          <a:ext cx="288925" cy="290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975FC" id="Connecteur droit 2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7pt" to="24.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" strokecolor="black [3040]">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64AE671F" wp14:editId="19D1946F">
                <wp:simplePos x="0" y="0"/>
                <wp:positionH relativeFrom="column">
                  <wp:posOffset>32385</wp:posOffset>
                </wp:positionH>
                <wp:positionV relativeFrom="paragraph">
                  <wp:posOffset>80011</wp:posOffset>
                </wp:positionV>
                <wp:extent cx="276225" cy="280988"/>
                <wp:effectExtent l="0" t="0" r="28575" b="24130"/>
                <wp:wrapNone/>
                <wp:docPr id="26" name="Connecteur droit 26"/>
                <wp:cNvGraphicFramePr/>
                <a:graphic xmlns:a="http://schemas.openxmlformats.org/drawingml/2006/main">
                  <a:graphicData uri="http://schemas.microsoft.com/office/word/2010/wordprocessingShape">
                    <wps:wsp>
                      <wps:cNvCnPr/>
                      <wps:spPr>
                        <a:xfrm>
                          <a:off x="0" y="0"/>
                          <a:ext cx="276225" cy="2809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67497" id="Connecteur droit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3pt" to="24.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" strokecolor="black [3040]"/>
            </w:pict>
          </mc:Fallback>
        </mc:AlternateContent>
      </w:r>
      <w:r w:rsidR="00455731">
        <w:rPr>
          <w:noProof/>
        </w:rPr>
        <w:drawing>
          <wp:inline distT="0" distB="0" distL="0" distR="0" wp14:anchorId="281A0EC5" wp14:editId="479B262A">
            <wp:extent cx="360000" cy="360000"/>
            <wp:effectExtent l="0" t="0" r="254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000" cy="360000"/>
                    </a:xfrm>
                    <a:prstGeom prst="rect">
                      <a:avLst/>
                    </a:prstGeom>
                  </pic:spPr>
                </pic:pic>
              </a:graphicData>
            </a:graphic>
          </wp:inline>
        </w:drawing>
      </w:r>
      <w:r w:rsidR="00605471" w:rsidRPr="00DF071E">
        <w:rPr>
          <w:b w:val="0"/>
          <w:sz w:val="24"/>
          <w:lang w:val="en-US"/>
        </w:rPr>
        <w:t xml:space="preserve">Percentage of the volume of products </w:t>
      </w:r>
      <w:r w:rsidR="00605471">
        <w:rPr>
          <w:b w:val="0"/>
          <w:sz w:val="24"/>
          <w:lang w:val="en-US"/>
        </w:rPr>
        <w:t>without added sugars</w:t>
      </w:r>
    </w:p>
    <w:p w14:paraId="7F76D7A4" w14:textId="55B1EEC0" w:rsidR="00C40E3E" w:rsidRDefault="00605471" w:rsidP="00605471">
      <w:pPr>
        <w:spacing w:after="200" w:line="276" w:lineRule="auto"/>
        <w:jc w:val="left"/>
        <w:rPr>
          <w:sz w:val="20"/>
        </w:rPr>
      </w:pPr>
      <w:r w:rsidRPr="00DF071E">
        <w:rPr>
          <w:sz w:val="20"/>
        </w:rPr>
        <w:t xml:space="preserve">This indicator is calculated for the </w:t>
      </w:r>
      <w:r w:rsidRPr="00DF071E">
        <w:rPr>
          <w:sz w:val="20"/>
          <w:lang w:val="en-US"/>
        </w:rPr>
        <w:t xml:space="preserve">Essential </w:t>
      </w:r>
      <w:r w:rsidRPr="00DF071E">
        <w:rPr>
          <w:sz w:val="20"/>
        </w:rPr>
        <w:t xml:space="preserve">Dairy Products, Early Life Nutrition </w:t>
      </w:r>
      <w:r w:rsidR="00C40E3E">
        <w:rPr>
          <w:sz w:val="20"/>
        </w:rPr>
        <w:t xml:space="preserve">and Waters </w:t>
      </w:r>
      <w:r w:rsidR="00455731">
        <w:rPr>
          <w:sz w:val="20"/>
        </w:rPr>
        <w:t>business</w:t>
      </w:r>
      <w:r w:rsidR="00C40E3E">
        <w:rPr>
          <w:sz w:val="20"/>
        </w:rPr>
        <w:t>e</w:t>
      </w:r>
      <w:r w:rsidRPr="00DF071E">
        <w:rPr>
          <w:sz w:val="20"/>
        </w:rPr>
        <w:t>s</w:t>
      </w:r>
      <w:r>
        <w:rPr>
          <w:sz w:val="20"/>
        </w:rPr>
        <w:t xml:space="preserve">. </w:t>
      </w:r>
      <w:r w:rsidR="00C40E3E">
        <w:rPr>
          <w:sz w:val="20"/>
        </w:rPr>
        <w:br/>
      </w:r>
      <w:r w:rsidR="00C40E3E" w:rsidRPr="00DF071E">
        <w:rPr>
          <w:sz w:val="20"/>
          <w:lang w:val="en-US"/>
        </w:rPr>
        <w:t>Advanced Medical Nutrition products</w:t>
      </w:r>
      <w:r w:rsidR="00C40E3E">
        <w:rPr>
          <w:sz w:val="20"/>
          <w:lang w:val="en-US"/>
        </w:rPr>
        <w:t xml:space="preserve"> and Tailored nutrition products from </w:t>
      </w:r>
      <w:r w:rsidR="00C40E3E" w:rsidRPr="00DF071E">
        <w:rPr>
          <w:sz w:val="20"/>
        </w:rPr>
        <w:t>Early Life Nutrition</w:t>
      </w:r>
      <w:r w:rsidR="00C40E3E">
        <w:rPr>
          <w:sz w:val="20"/>
        </w:rPr>
        <w:t xml:space="preserve"> business were excluded because not relevant.</w:t>
      </w:r>
    </w:p>
    <w:p w14:paraId="3A29A145" w14:textId="2A998289" w:rsidR="00605471" w:rsidRPr="00DF071E" w:rsidRDefault="00605471" w:rsidP="00605471">
      <w:pPr>
        <w:spacing w:after="200" w:line="276" w:lineRule="auto"/>
        <w:jc w:val="left"/>
        <w:rPr>
          <w:sz w:val="20"/>
        </w:rPr>
      </w:pPr>
      <w:r>
        <w:rPr>
          <w:sz w:val="20"/>
        </w:rPr>
        <w:t>By without added sugar</w:t>
      </w:r>
      <w:r w:rsidR="00495E9A">
        <w:rPr>
          <w:sz w:val="20"/>
        </w:rPr>
        <w:t>s</w:t>
      </w:r>
      <w:r>
        <w:rPr>
          <w:sz w:val="20"/>
        </w:rPr>
        <w:t xml:space="preserve">, we </w:t>
      </w:r>
      <w:r w:rsidR="00455731">
        <w:rPr>
          <w:sz w:val="20"/>
        </w:rPr>
        <w:t>mean</w:t>
      </w:r>
      <w:r>
        <w:rPr>
          <w:sz w:val="20"/>
        </w:rPr>
        <w:t xml:space="preserve"> </w:t>
      </w:r>
      <w:r w:rsidR="00495E9A">
        <w:rPr>
          <w:sz w:val="20"/>
        </w:rPr>
        <w:t xml:space="preserve">all products with </w:t>
      </w:r>
      <w:r>
        <w:rPr>
          <w:sz w:val="20"/>
        </w:rPr>
        <w:t>an added sugars content equal to zero g.</w:t>
      </w:r>
    </w:p>
    <w:p w14:paraId="4D1A8E7C" w14:textId="77777777" w:rsidR="00605471" w:rsidRPr="00605471" w:rsidRDefault="00605471" w:rsidP="00F258F7">
      <w:pPr>
        <w:pStyle w:val="NormalDanone"/>
        <w:rPr>
          <w:sz w:val="20"/>
        </w:rPr>
      </w:pPr>
    </w:p>
    <w:p w14:paraId="231B256C" w14:textId="3364B2AB" w:rsidR="00E13436" w:rsidRPr="00DF071E" w:rsidRDefault="00605471" w:rsidP="00E13436">
      <w:pPr>
        <w:pStyle w:val="Titre5Danone"/>
        <w:rPr>
          <w:b w:val="0"/>
          <w:sz w:val="24"/>
          <w:lang w:val="en-US"/>
        </w:rPr>
      </w:pPr>
      <w:r>
        <w:rPr>
          <w:noProof/>
        </w:rPr>
        <w:lastRenderedPageBreak/>
        <w:drawing>
          <wp:inline distT="0" distB="0" distL="0" distR="0" wp14:anchorId="7B099518" wp14:editId="1235C21E">
            <wp:extent cx="360000" cy="360000"/>
            <wp:effectExtent l="0" t="0" r="2540" b="2540"/>
            <wp:docPr id="4" name="Graphique 4" descr="Zoomer en 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omI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0000" cy="360000"/>
                    </a:xfrm>
                    <a:prstGeom prst="rect">
                      <a:avLst/>
                    </a:prstGeom>
                  </pic:spPr>
                </pic:pic>
              </a:graphicData>
            </a:graphic>
          </wp:inline>
        </w:drawing>
      </w:r>
      <w:r>
        <w:rPr>
          <w:b w:val="0"/>
          <w:sz w:val="24"/>
          <w:lang w:val="en-US"/>
        </w:rPr>
        <w:t xml:space="preserve"> </w:t>
      </w:r>
      <w:r w:rsidR="00E13436" w:rsidRPr="00DF071E">
        <w:rPr>
          <w:b w:val="0"/>
          <w:sz w:val="24"/>
          <w:lang w:val="en-US"/>
        </w:rPr>
        <w:t>Percentage of volumes of fortified products sold</w:t>
      </w:r>
    </w:p>
    <w:p w14:paraId="63776012" w14:textId="4C94D26B" w:rsidR="00E13436" w:rsidRPr="00DF071E" w:rsidRDefault="00E13436" w:rsidP="00E13436">
      <w:pPr>
        <w:pStyle w:val="NormalDanone"/>
        <w:rPr>
          <w:sz w:val="20"/>
          <w:lang w:val="en-US"/>
        </w:rPr>
      </w:pPr>
      <w:r w:rsidRPr="00DF071E">
        <w:rPr>
          <w:sz w:val="20"/>
          <w:lang w:val="en-US"/>
        </w:rPr>
        <w:t xml:space="preserve">The </w:t>
      </w:r>
      <w:r w:rsidR="00F114FB" w:rsidRPr="00DF071E">
        <w:rPr>
          <w:sz w:val="20"/>
        </w:rPr>
        <w:t xml:space="preserve">indicator </w:t>
      </w:r>
      <w:r w:rsidRPr="00DF071E">
        <w:rPr>
          <w:sz w:val="20"/>
          <w:lang w:val="en-US"/>
        </w:rPr>
        <w:t xml:space="preserve">is calculated </w:t>
      </w:r>
      <w:r w:rsidR="00321E63" w:rsidRPr="00DF071E">
        <w:rPr>
          <w:sz w:val="20"/>
          <w:lang w:val="en-US"/>
        </w:rPr>
        <w:t xml:space="preserve">only </w:t>
      </w:r>
      <w:r w:rsidR="00495E9A">
        <w:rPr>
          <w:sz w:val="20"/>
          <w:lang w:val="en-US"/>
        </w:rPr>
        <w:t xml:space="preserve">for </w:t>
      </w:r>
      <w:r w:rsidR="00321E63" w:rsidRPr="00DF071E">
        <w:rPr>
          <w:sz w:val="20"/>
          <w:lang w:val="en-US"/>
        </w:rPr>
        <w:t xml:space="preserve">the </w:t>
      </w:r>
      <w:r w:rsidR="005B38CE" w:rsidRPr="00DF071E">
        <w:rPr>
          <w:sz w:val="20"/>
          <w:lang w:val="en-US"/>
        </w:rPr>
        <w:t xml:space="preserve">Essential </w:t>
      </w:r>
      <w:r w:rsidRPr="00DF071E">
        <w:rPr>
          <w:sz w:val="20"/>
          <w:lang w:val="en-US"/>
        </w:rPr>
        <w:t xml:space="preserve">Dairy </w:t>
      </w:r>
      <w:r w:rsidR="00D54087" w:rsidRPr="00DF071E">
        <w:rPr>
          <w:sz w:val="20"/>
          <w:lang w:val="en-US"/>
        </w:rPr>
        <w:t>Products</w:t>
      </w:r>
      <w:r w:rsidR="002C795C">
        <w:rPr>
          <w:sz w:val="20"/>
          <w:lang w:val="en-US"/>
        </w:rPr>
        <w:t xml:space="preserve"> (EDP)</w:t>
      </w:r>
      <w:r w:rsidRPr="00DF071E">
        <w:rPr>
          <w:sz w:val="20"/>
          <w:lang w:val="en-US"/>
        </w:rPr>
        <w:t>. More specifically, this figure is calculat</w:t>
      </w:r>
      <w:r w:rsidR="00321E63" w:rsidRPr="00DF071E">
        <w:rPr>
          <w:sz w:val="20"/>
          <w:lang w:val="en-US"/>
        </w:rPr>
        <w:t>ed for a scope of 16</w:t>
      </w:r>
      <w:r w:rsidR="00AD73F8" w:rsidRPr="00DF071E">
        <w:rPr>
          <w:sz w:val="20"/>
          <w:lang w:val="en-US"/>
        </w:rPr>
        <w:t xml:space="preserve"> subsidiaries covering 80</w:t>
      </w:r>
      <w:r w:rsidRPr="00DF071E">
        <w:rPr>
          <w:sz w:val="20"/>
          <w:lang w:val="en-US"/>
        </w:rPr>
        <w:t xml:space="preserve">% of the sales of </w:t>
      </w:r>
      <w:r w:rsidR="00321E63" w:rsidRPr="00DF071E">
        <w:rPr>
          <w:sz w:val="20"/>
          <w:lang w:val="en-US"/>
        </w:rPr>
        <w:t xml:space="preserve">one </w:t>
      </w:r>
      <w:r w:rsidR="00455731">
        <w:rPr>
          <w:sz w:val="20"/>
          <w:lang w:val="en-US"/>
        </w:rPr>
        <w:t>b</w:t>
      </w:r>
      <w:r w:rsidR="00321E63" w:rsidRPr="00DF071E">
        <w:rPr>
          <w:sz w:val="20"/>
          <w:lang w:val="en-US"/>
        </w:rPr>
        <w:t>usiness</w:t>
      </w:r>
      <w:r w:rsidRPr="00DF071E">
        <w:rPr>
          <w:sz w:val="20"/>
          <w:lang w:val="en-US"/>
        </w:rPr>
        <w:t>.</w:t>
      </w:r>
    </w:p>
    <w:p w14:paraId="29716D14" w14:textId="3386721B" w:rsidR="00DE4A2B" w:rsidRDefault="00196501" w:rsidP="00196501">
      <w:pPr>
        <w:pStyle w:val="NormalDanone"/>
        <w:rPr>
          <w:sz w:val="20"/>
          <w:lang w:val="en-US"/>
        </w:rPr>
      </w:pPr>
      <w:r w:rsidRPr="00DF071E">
        <w:rPr>
          <w:sz w:val="20"/>
          <w:lang w:val="en-US"/>
        </w:rPr>
        <w:t xml:space="preserve">A product can be counted as fortified only if three elements are met for at least one nutrient: 1) It is an essential nutrient (essential fatty acid, fiber, mineral, vitamin); 2) The enrichment is justified by nutritional issues of the targeted population(s) documented by national surveys OR the enrichment is mandatory by law and 3) The enrichment has been approved by local experts or validated by the </w:t>
      </w:r>
      <w:r w:rsidR="002C795C" w:rsidRPr="002C795C">
        <w:rPr>
          <w:sz w:val="20"/>
          <w:lang w:val="en-US"/>
        </w:rPr>
        <w:t xml:space="preserve">EDP central </w:t>
      </w:r>
      <w:r w:rsidRPr="00DF071E">
        <w:rPr>
          <w:sz w:val="20"/>
          <w:lang w:val="en-US"/>
        </w:rPr>
        <w:t>nutrition team</w:t>
      </w:r>
      <w:r w:rsidR="002C795C">
        <w:rPr>
          <w:sz w:val="20"/>
          <w:lang w:val="en-US"/>
        </w:rPr>
        <w:t>.</w:t>
      </w:r>
      <w:r w:rsidRPr="00DF071E">
        <w:rPr>
          <w:sz w:val="20"/>
          <w:lang w:val="en-US"/>
        </w:rPr>
        <w:t xml:space="preserve"> </w:t>
      </w:r>
    </w:p>
    <w:p w14:paraId="47D44FA6" w14:textId="53E2F17E" w:rsidR="00DB6EBD" w:rsidRDefault="00DB6EBD" w:rsidP="00196501">
      <w:pPr>
        <w:pStyle w:val="NormalDanone"/>
        <w:rPr>
          <w:sz w:val="20"/>
        </w:rPr>
      </w:pPr>
    </w:p>
    <w:p w14:paraId="44575B7F" w14:textId="77777777" w:rsidR="00E03C3B" w:rsidRPr="002C795C" w:rsidRDefault="00E03C3B" w:rsidP="00196501">
      <w:pPr>
        <w:pStyle w:val="NormalDanone"/>
        <w:rPr>
          <w:sz w:val="20"/>
        </w:rPr>
      </w:pPr>
    </w:p>
    <w:p w14:paraId="39954D0B" w14:textId="14DCC4E4" w:rsidR="002D6E5C" w:rsidRPr="00DF071E" w:rsidRDefault="003F0547" w:rsidP="002D6E5C">
      <w:pPr>
        <w:pStyle w:val="Titre5Danone"/>
        <w:rPr>
          <w:b w:val="0"/>
          <w:sz w:val="24"/>
          <w:lang w:val="en-US"/>
        </w:rPr>
      </w:pPr>
      <w:r w:rsidRPr="00DF071E">
        <w:rPr>
          <w:b w:val="0"/>
          <w:noProof/>
          <w:sz w:val="24"/>
          <w:lang w:val="en-US"/>
        </w:rPr>
        <w:drawing>
          <wp:inline distT="0" distB="0" distL="0" distR="0" wp14:anchorId="2483F5BE" wp14:editId="7AFEB3DA">
            <wp:extent cx="360000" cy="360000"/>
            <wp:effectExtent l="0" t="0" r="2540" b="2540"/>
            <wp:docPr id="23" name="Graphique 23"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ullsey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0000" cy="360000"/>
                    </a:xfrm>
                    <a:prstGeom prst="rect">
                      <a:avLst/>
                    </a:prstGeom>
                  </pic:spPr>
                </pic:pic>
              </a:graphicData>
            </a:graphic>
          </wp:inline>
        </w:drawing>
      </w:r>
      <w:r w:rsidR="002D6E5C" w:rsidRPr="00DF071E">
        <w:rPr>
          <w:b w:val="0"/>
          <w:sz w:val="24"/>
          <w:lang w:val="en-US"/>
        </w:rPr>
        <w:t xml:space="preserve">Percentage of products compliant </w:t>
      </w:r>
      <w:r w:rsidR="00CD6041">
        <w:rPr>
          <w:b w:val="0"/>
          <w:sz w:val="24"/>
          <w:lang w:val="en-US"/>
        </w:rPr>
        <w:t>to</w:t>
      </w:r>
      <w:r w:rsidR="002D6E5C" w:rsidRPr="00DF071E">
        <w:rPr>
          <w:b w:val="0"/>
          <w:sz w:val="24"/>
          <w:lang w:val="en-US"/>
        </w:rPr>
        <w:t xml:space="preserve"> the Danone Nutritional Targets 2020 </w:t>
      </w:r>
    </w:p>
    <w:p w14:paraId="2FB97F48" w14:textId="63123F15" w:rsidR="002D6E5C" w:rsidRPr="00DF071E" w:rsidRDefault="002D6E5C" w:rsidP="002D6E5C">
      <w:pPr>
        <w:rPr>
          <w:sz w:val="20"/>
        </w:rPr>
      </w:pPr>
      <w:r w:rsidRPr="00DF071E">
        <w:rPr>
          <w:sz w:val="20"/>
        </w:rPr>
        <w:t xml:space="preserve">All information on what is required to reach the targets is described in the </w:t>
      </w:r>
      <w:r w:rsidR="00591779" w:rsidRPr="00DF071E">
        <w:rPr>
          <w:sz w:val="20"/>
        </w:rPr>
        <w:t>“</w:t>
      </w:r>
      <w:r w:rsidR="00591779" w:rsidRPr="00DF071E">
        <w:rPr>
          <w:sz w:val="20"/>
          <w:lang w:val="en-US"/>
        </w:rPr>
        <w:t xml:space="preserve">Danone Nutritional Targets 2020” </w:t>
      </w:r>
      <w:r w:rsidRPr="00DF071E">
        <w:rPr>
          <w:sz w:val="20"/>
        </w:rPr>
        <w:t>document available in www.danone.com website, in the Impact part.</w:t>
      </w:r>
    </w:p>
    <w:p w14:paraId="4E0AEB75" w14:textId="3343473D" w:rsidR="00A942C8" w:rsidRPr="00DF071E" w:rsidRDefault="00A942C8" w:rsidP="00A942C8">
      <w:pPr>
        <w:jc w:val="left"/>
        <w:rPr>
          <w:sz w:val="20"/>
        </w:rPr>
      </w:pPr>
      <w:r w:rsidRPr="00DF071E">
        <w:rPr>
          <w:sz w:val="20"/>
          <w:lang w:val="en-US"/>
        </w:rPr>
        <w:t xml:space="preserve">If there is a legal constraint that applies locally on one nutrient, and makes it impossible to comply on this nutrient, then the nutrient is not </w:t>
      </w:r>
      <w:r w:rsidR="00F114FB" w:rsidRPr="00DF071E">
        <w:rPr>
          <w:sz w:val="20"/>
          <w:lang w:val="en-US"/>
        </w:rPr>
        <w:t>considered</w:t>
      </w:r>
      <w:r w:rsidRPr="00DF071E">
        <w:rPr>
          <w:sz w:val="20"/>
          <w:lang w:val="en-US"/>
        </w:rPr>
        <w:t>.</w:t>
      </w:r>
    </w:p>
    <w:p w14:paraId="68D11FE4" w14:textId="665DE01D" w:rsidR="00516FBF" w:rsidRDefault="00516FBF">
      <w:pPr>
        <w:spacing w:after="200" w:line="276" w:lineRule="auto"/>
        <w:jc w:val="left"/>
        <w:rPr>
          <w:rFonts w:cs="Arial"/>
          <w:bCs/>
          <w:iCs/>
          <w:color w:val="31849B"/>
          <w:sz w:val="24"/>
          <w:szCs w:val="20"/>
        </w:rPr>
      </w:pPr>
    </w:p>
    <w:p w14:paraId="3A6BB597" w14:textId="77777777" w:rsidR="00E03C3B" w:rsidRPr="00D14A24" w:rsidRDefault="00E03C3B">
      <w:pPr>
        <w:spacing w:after="200" w:line="276" w:lineRule="auto"/>
        <w:jc w:val="left"/>
        <w:rPr>
          <w:rFonts w:cs="Arial"/>
          <w:bCs/>
          <w:iCs/>
          <w:color w:val="31849B"/>
          <w:sz w:val="24"/>
          <w:szCs w:val="20"/>
        </w:rPr>
      </w:pPr>
    </w:p>
    <w:p w14:paraId="529429D9" w14:textId="4F2690A1" w:rsidR="00591779" w:rsidRPr="00DF071E" w:rsidRDefault="00CD6041" w:rsidP="00591779">
      <w:pPr>
        <w:spacing w:after="200" w:line="276" w:lineRule="auto"/>
        <w:jc w:val="left"/>
        <w:rPr>
          <w:rFonts w:cs="Arial"/>
          <w:bCs/>
          <w:iCs/>
          <w:color w:val="31849B"/>
          <w:sz w:val="24"/>
          <w:szCs w:val="20"/>
          <w:lang w:val="en-US"/>
        </w:rPr>
      </w:pPr>
      <w:r>
        <w:rPr>
          <w:noProof/>
        </w:rPr>
        <w:drawing>
          <wp:inline distT="0" distB="0" distL="0" distR="0" wp14:anchorId="15874636" wp14:editId="298BA75A">
            <wp:extent cx="360000" cy="390363"/>
            <wp:effectExtent l="0" t="0" r="254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biLevel thresh="75000"/>
                    </a:blip>
                    <a:stretch>
                      <a:fillRect/>
                    </a:stretch>
                  </pic:blipFill>
                  <pic:spPr>
                    <a:xfrm>
                      <a:off x="0" y="0"/>
                      <a:ext cx="360000" cy="390363"/>
                    </a:xfrm>
                    <a:prstGeom prst="rect">
                      <a:avLst/>
                    </a:prstGeom>
                  </pic:spPr>
                </pic:pic>
              </a:graphicData>
            </a:graphic>
          </wp:inline>
        </w:drawing>
      </w:r>
      <w:r>
        <w:rPr>
          <w:rFonts w:cs="Arial"/>
          <w:bCs/>
          <w:iCs/>
          <w:color w:val="31849B"/>
          <w:sz w:val="24"/>
          <w:szCs w:val="20"/>
          <w:lang w:val="en-US"/>
        </w:rPr>
        <w:t xml:space="preserve"> </w:t>
      </w:r>
      <w:r w:rsidR="00591779" w:rsidRPr="00DF071E">
        <w:rPr>
          <w:rFonts w:cs="Arial"/>
          <w:bCs/>
          <w:iCs/>
          <w:color w:val="31849B"/>
          <w:sz w:val="24"/>
          <w:szCs w:val="20"/>
          <w:lang w:val="en-US"/>
        </w:rPr>
        <w:t>Percentage of products for which a salt target has been defined and which are in line with these targets</w:t>
      </w:r>
    </w:p>
    <w:p w14:paraId="50A95667" w14:textId="77777777" w:rsidR="007B5C9F" w:rsidRPr="00DF071E" w:rsidRDefault="007B5C9F" w:rsidP="007B5C9F">
      <w:pPr>
        <w:spacing w:after="200" w:line="276" w:lineRule="auto"/>
        <w:jc w:val="left"/>
        <w:rPr>
          <w:sz w:val="20"/>
          <w:lang w:val="en-US"/>
        </w:rPr>
      </w:pPr>
      <w:r w:rsidRPr="00DF071E">
        <w:rPr>
          <w:sz w:val="20"/>
        </w:rPr>
        <w:t>All information on what is required to reach the targets is described in the “</w:t>
      </w:r>
      <w:r w:rsidRPr="00DF071E">
        <w:rPr>
          <w:sz w:val="20"/>
          <w:lang w:val="en-US"/>
        </w:rPr>
        <w:t xml:space="preserve">Danone Nutritional Targets 2020” </w:t>
      </w:r>
      <w:r w:rsidRPr="00DF071E">
        <w:rPr>
          <w:sz w:val="20"/>
        </w:rPr>
        <w:t>document available in www.danone.com website, in the Impact part.</w:t>
      </w:r>
    </w:p>
    <w:p w14:paraId="191652CF" w14:textId="586CA898" w:rsidR="00591779" w:rsidRPr="00DF071E" w:rsidRDefault="007B5C9F" w:rsidP="00591779">
      <w:pPr>
        <w:spacing w:after="200" w:line="276" w:lineRule="auto"/>
        <w:jc w:val="left"/>
        <w:rPr>
          <w:sz w:val="20"/>
          <w:lang w:val="en-US"/>
        </w:rPr>
      </w:pPr>
      <w:r>
        <w:rPr>
          <w:sz w:val="20"/>
          <w:lang w:val="en-US"/>
        </w:rPr>
        <w:t>This indicator</w:t>
      </w:r>
      <w:r w:rsidR="00591779" w:rsidRPr="00DF071E">
        <w:rPr>
          <w:sz w:val="20"/>
          <w:lang w:val="en-US"/>
        </w:rPr>
        <w:t xml:space="preserve"> represents the % of sales volumes 2018 meeting the salt threshold for their category in the Danone Nutritional Targets 2020. The compliance is weighted by volumes of products sold. This rule applies both at portfolio and product (i.e. multipack) levels.</w:t>
      </w:r>
    </w:p>
    <w:p w14:paraId="679A1D5A" w14:textId="512241C3" w:rsidR="00591779" w:rsidRDefault="00591779">
      <w:pPr>
        <w:spacing w:after="200" w:line="276" w:lineRule="auto"/>
        <w:jc w:val="left"/>
        <w:rPr>
          <w:rFonts w:cs="Arial"/>
          <w:bCs/>
          <w:iCs/>
          <w:color w:val="31849B"/>
          <w:sz w:val="24"/>
          <w:szCs w:val="20"/>
          <w:lang w:val="en-US"/>
        </w:rPr>
      </w:pPr>
    </w:p>
    <w:p w14:paraId="2A41C2DD" w14:textId="77777777" w:rsidR="00E03C3B" w:rsidRPr="00D14A24" w:rsidRDefault="00E03C3B">
      <w:pPr>
        <w:spacing w:after="200" w:line="276" w:lineRule="auto"/>
        <w:jc w:val="left"/>
        <w:rPr>
          <w:rFonts w:cs="Arial"/>
          <w:bCs/>
          <w:iCs/>
          <w:color w:val="31849B"/>
          <w:sz w:val="24"/>
          <w:szCs w:val="20"/>
          <w:lang w:val="en-US"/>
        </w:rPr>
      </w:pPr>
    </w:p>
    <w:p w14:paraId="297636EC" w14:textId="6498DADC" w:rsidR="00591779" w:rsidRPr="00DF071E" w:rsidRDefault="00CD6041" w:rsidP="00591779">
      <w:pPr>
        <w:spacing w:after="200" w:line="276" w:lineRule="auto"/>
        <w:jc w:val="left"/>
        <w:rPr>
          <w:rFonts w:cs="Arial"/>
          <w:bCs/>
          <w:iCs/>
          <w:color w:val="31849B"/>
          <w:sz w:val="24"/>
          <w:szCs w:val="20"/>
          <w:lang w:val="en-US"/>
        </w:rPr>
      </w:pPr>
      <w:r>
        <w:rPr>
          <w:noProof/>
        </w:rPr>
        <w:drawing>
          <wp:inline distT="0" distB="0" distL="0" distR="0" wp14:anchorId="319F5819" wp14:editId="49693812">
            <wp:extent cx="360000" cy="342225"/>
            <wp:effectExtent l="0" t="0" r="254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biLevel thresh="75000"/>
                    </a:blip>
                    <a:stretch>
                      <a:fillRect/>
                    </a:stretch>
                  </pic:blipFill>
                  <pic:spPr>
                    <a:xfrm>
                      <a:off x="0" y="0"/>
                      <a:ext cx="360000" cy="342225"/>
                    </a:xfrm>
                    <a:prstGeom prst="rect">
                      <a:avLst/>
                    </a:prstGeom>
                  </pic:spPr>
                </pic:pic>
              </a:graphicData>
            </a:graphic>
          </wp:inline>
        </w:drawing>
      </w:r>
      <w:r>
        <w:rPr>
          <w:rFonts w:cs="Arial"/>
          <w:bCs/>
          <w:iCs/>
          <w:color w:val="31849B"/>
          <w:sz w:val="24"/>
          <w:szCs w:val="20"/>
          <w:lang w:val="en-US"/>
        </w:rPr>
        <w:t xml:space="preserve"> </w:t>
      </w:r>
      <w:r w:rsidR="00591779" w:rsidRPr="00DF071E">
        <w:rPr>
          <w:rFonts w:cs="Arial"/>
          <w:bCs/>
          <w:iCs/>
          <w:color w:val="31849B"/>
          <w:sz w:val="24"/>
          <w:szCs w:val="20"/>
          <w:lang w:val="en-US"/>
        </w:rPr>
        <w:t>Percentage of products for which a sugar target has been defined and which are in line with these targets</w:t>
      </w:r>
    </w:p>
    <w:p w14:paraId="49816311" w14:textId="77777777" w:rsidR="007B5C9F" w:rsidRPr="00DF071E" w:rsidRDefault="007B5C9F" w:rsidP="007B5C9F">
      <w:pPr>
        <w:spacing w:after="200" w:line="276" w:lineRule="auto"/>
        <w:jc w:val="left"/>
        <w:rPr>
          <w:sz w:val="20"/>
          <w:lang w:val="en-US"/>
        </w:rPr>
      </w:pPr>
      <w:r w:rsidRPr="00DF071E">
        <w:rPr>
          <w:sz w:val="20"/>
        </w:rPr>
        <w:t>All information on what is required to reach the targets is described in the “</w:t>
      </w:r>
      <w:r w:rsidRPr="00DF071E">
        <w:rPr>
          <w:sz w:val="20"/>
          <w:lang w:val="en-US"/>
        </w:rPr>
        <w:t xml:space="preserve">Danone Nutritional Targets 2020” </w:t>
      </w:r>
      <w:r w:rsidRPr="00DF071E">
        <w:rPr>
          <w:sz w:val="20"/>
        </w:rPr>
        <w:t>document available in www.danone.com website, in the Impact part.</w:t>
      </w:r>
    </w:p>
    <w:p w14:paraId="3DF1B119" w14:textId="3C996F62" w:rsidR="00591779" w:rsidRPr="00DF071E" w:rsidRDefault="007B5C9F" w:rsidP="00591779">
      <w:pPr>
        <w:spacing w:after="200" w:line="276" w:lineRule="auto"/>
        <w:jc w:val="left"/>
        <w:rPr>
          <w:sz w:val="20"/>
          <w:lang w:val="en-US"/>
        </w:rPr>
      </w:pPr>
      <w:r>
        <w:rPr>
          <w:sz w:val="20"/>
          <w:lang w:val="en-US"/>
        </w:rPr>
        <w:t>This indicator</w:t>
      </w:r>
      <w:r w:rsidR="00591779" w:rsidRPr="00DF071E">
        <w:rPr>
          <w:sz w:val="20"/>
          <w:lang w:val="en-US"/>
        </w:rPr>
        <w:t xml:space="preserve"> represents the % of sales volumes 2018 meeting the sugar threshold for their category in the Danone Nutritional Targets 2020. The compliance is weighted by volumes of products sold. This rule applies both at portfolio and product (i.e. multipack) levels</w:t>
      </w:r>
      <w:r w:rsidR="00A133ED">
        <w:rPr>
          <w:sz w:val="20"/>
          <w:lang w:val="en-US"/>
        </w:rPr>
        <w:t>.</w:t>
      </w:r>
    </w:p>
    <w:p w14:paraId="3725B2A8" w14:textId="0C1B32E8" w:rsidR="00591779" w:rsidRPr="00DF071E" w:rsidRDefault="00591779" w:rsidP="00591779">
      <w:pPr>
        <w:spacing w:after="200" w:line="276" w:lineRule="auto"/>
        <w:jc w:val="left"/>
        <w:rPr>
          <w:sz w:val="20"/>
          <w:lang w:val="en-US"/>
        </w:rPr>
      </w:pPr>
      <w:r w:rsidRPr="00DF071E">
        <w:rPr>
          <w:sz w:val="20"/>
          <w:lang w:val="en-US"/>
        </w:rPr>
        <w:t>The sugar target corresponds to added sugar</w:t>
      </w:r>
      <w:r w:rsidR="006E1BC5">
        <w:rPr>
          <w:sz w:val="20"/>
          <w:lang w:val="en-US"/>
        </w:rPr>
        <w:t>s</w:t>
      </w:r>
      <w:r w:rsidRPr="00DF071E">
        <w:rPr>
          <w:sz w:val="20"/>
          <w:lang w:val="en-US"/>
        </w:rPr>
        <w:t xml:space="preserve"> content, except for </w:t>
      </w:r>
      <w:r w:rsidR="005B38CE" w:rsidRPr="00DF071E">
        <w:rPr>
          <w:sz w:val="20"/>
          <w:lang w:val="en-US"/>
        </w:rPr>
        <w:t xml:space="preserve">Essential </w:t>
      </w:r>
      <w:r w:rsidRPr="00DF071E">
        <w:rPr>
          <w:sz w:val="20"/>
          <w:lang w:val="en-US"/>
        </w:rPr>
        <w:t xml:space="preserve">Dairy products for which the compliance to total sugar content is also mandatory. </w:t>
      </w:r>
    </w:p>
    <w:p w14:paraId="552938D5" w14:textId="77777777" w:rsidR="00591779" w:rsidRPr="00D14A24" w:rsidRDefault="00591779">
      <w:pPr>
        <w:spacing w:after="200" w:line="276" w:lineRule="auto"/>
        <w:jc w:val="left"/>
        <w:rPr>
          <w:rFonts w:cs="Arial"/>
          <w:bCs/>
          <w:iCs/>
          <w:color w:val="31849B"/>
          <w:sz w:val="24"/>
          <w:szCs w:val="20"/>
          <w:lang w:val="en-US"/>
        </w:rPr>
      </w:pPr>
    </w:p>
    <w:p w14:paraId="5D83425A" w14:textId="33C7E13A" w:rsidR="00516FBF" w:rsidRPr="00DF071E" w:rsidRDefault="00CD6041">
      <w:pPr>
        <w:spacing w:after="200" w:line="276" w:lineRule="auto"/>
        <w:jc w:val="left"/>
        <w:rPr>
          <w:rFonts w:cs="Arial"/>
          <w:bCs/>
          <w:iCs/>
          <w:color w:val="31849B"/>
          <w:sz w:val="24"/>
          <w:szCs w:val="20"/>
          <w:lang w:val="en-US"/>
        </w:rPr>
      </w:pPr>
      <w:r>
        <w:rPr>
          <w:noProof/>
        </w:rPr>
        <w:lastRenderedPageBreak/>
        <w:drawing>
          <wp:inline distT="0" distB="0" distL="0" distR="0" wp14:anchorId="7C3FFFA9" wp14:editId="16C7221D">
            <wp:extent cx="360000" cy="432975"/>
            <wp:effectExtent l="0" t="0" r="2540" b="571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biLevel thresh="75000"/>
                    </a:blip>
                    <a:stretch>
                      <a:fillRect/>
                    </a:stretch>
                  </pic:blipFill>
                  <pic:spPr>
                    <a:xfrm>
                      <a:off x="0" y="0"/>
                      <a:ext cx="360000" cy="432975"/>
                    </a:xfrm>
                    <a:prstGeom prst="rect">
                      <a:avLst/>
                    </a:prstGeom>
                  </pic:spPr>
                </pic:pic>
              </a:graphicData>
            </a:graphic>
          </wp:inline>
        </w:drawing>
      </w:r>
      <w:r>
        <w:rPr>
          <w:rFonts w:cs="Arial"/>
          <w:bCs/>
          <w:iCs/>
          <w:color w:val="31849B"/>
          <w:sz w:val="24"/>
          <w:szCs w:val="20"/>
          <w:lang w:val="en-US"/>
        </w:rPr>
        <w:t xml:space="preserve"> </w:t>
      </w:r>
      <w:r w:rsidR="00516FBF" w:rsidRPr="00DF071E">
        <w:rPr>
          <w:rFonts w:cs="Arial"/>
          <w:bCs/>
          <w:iCs/>
          <w:color w:val="31849B"/>
          <w:sz w:val="24"/>
          <w:szCs w:val="20"/>
          <w:lang w:val="en-US"/>
        </w:rPr>
        <w:t>Percentage of products for which a s</w:t>
      </w:r>
      <w:r w:rsidR="00591779" w:rsidRPr="00DF071E">
        <w:rPr>
          <w:rFonts w:cs="Arial"/>
          <w:bCs/>
          <w:iCs/>
          <w:color w:val="31849B"/>
          <w:sz w:val="24"/>
          <w:szCs w:val="20"/>
          <w:lang w:val="en-US"/>
        </w:rPr>
        <w:t>aturated fat</w:t>
      </w:r>
      <w:r w:rsidR="00516FBF" w:rsidRPr="00DF071E">
        <w:rPr>
          <w:rFonts w:cs="Arial"/>
          <w:bCs/>
          <w:iCs/>
          <w:color w:val="31849B"/>
          <w:sz w:val="24"/>
          <w:szCs w:val="20"/>
          <w:lang w:val="en-US"/>
        </w:rPr>
        <w:t xml:space="preserve"> target has been defined and which are in line with these targets</w:t>
      </w:r>
    </w:p>
    <w:p w14:paraId="53B455FD" w14:textId="77777777" w:rsidR="006E1BC5" w:rsidRPr="00DF071E" w:rsidRDefault="006E1BC5" w:rsidP="006E1BC5">
      <w:pPr>
        <w:spacing w:after="200" w:line="276" w:lineRule="auto"/>
        <w:jc w:val="left"/>
        <w:rPr>
          <w:sz w:val="20"/>
          <w:lang w:val="en-US"/>
        </w:rPr>
      </w:pPr>
      <w:r w:rsidRPr="00DF071E">
        <w:rPr>
          <w:sz w:val="20"/>
        </w:rPr>
        <w:t>All information on what is required to reach the targets is described in the “</w:t>
      </w:r>
      <w:r w:rsidRPr="00DF071E">
        <w:rPr>
          <w:sz w:val="20"/>
          <w:lang w:val="en-US"/>
        </w:rPr>
        <w:t xml:space="preserve">Danone Nutritional Targets 2020” </w:t>
      </w:r>
      <w:r w:rsidRPr="00DF071E">
        <w:rPr>
          <w:sz w:val="20"/>
        </w:rPr>
        <w:t>document available in www.danone.com website, in the Impact part.</w:t>
      </w:r>
    </w:p>
    <w:p w14:paraId="17C8C3FE" w14:textId="37DD56C7" w:rsidR="00591779" w:rsidRDefault="006E1BC5" w:rsidP="00591779">
      <w:pPr>
        <w:spacing w:after="200" w:line="276" w:lineRule="auto"/>
        <w:jc w:val="left"/>
        <w:rPr>
          <w:sz w:val="20"/>
          <w:lang w:val="en-US"/>
        </w:rPr>
      </w:pPr>
      <w:r>
        <w:rPr>
          <w:sz w:val="20"/>
          <w:lang w:val="en-US"/>
        </w:rPr>
        <w:t>This indicator</w:t>
      </w:r>
      <w:r w:rsidRPr="00DF071E">
        <w:rPr>
          <w:sz w:val="20"/>
          <w:lang w:val="en-US"/>
        </w:rPr>
        <w:t xml:space="preserve"> </w:t>
      </w:r>
      <w:r w:rsidR="00591779" w:rsidRPr="00DF071E">
        <w:rPr>
          <w:sz w:val="20"/>
          <w:lang w:val="en-US"/>
        </w:rPr>
        <w:t>represents the % of sales volumes 2018 meeting the saturated fat threshold for their category in the Danone Nutritional Targets 2020. The compliance is weighted by volumes of products sold. This rule applies both at portfolio and product (i.e. multipack) levels.</w:t>
      </w:r>
    </w:p>
    <w:p w14:paraId="4156D680" w14:textId="77777777" w:rsidR="00E03C3B" w:rsidRPr="00DF071E" w:rsidRDefault="00E03C3B" w:rsidP="00591779">
      <w:pPr>
        <w:spacing w:after="200" w:line="276" w:lineRule="auto"/>
        <w:jc w:val="left"/>
        <w:rPr>
          <w:sz w:val="20"/>
          <w:lang w:val="en-US"/>
        </w:rPr>
      </w:pPr>
    </w:p>
    <w:p w14:paraId="3F28E016" w14:textId="65571D57" w:rsidR="00E1530B" w:rsidRPr="00DF071E" w:rsidRDefault="003F0547" w:rsidP="00E1530B">
      <w:pPr>
        <w:pStyle w:val="Titre5Danone"/>
        <w:rPr>
          <w:b w:val="0"/>
          <w:sz w:val="24"/>
          <w:lang w:val="en-US"/>
        </w:rPr>
      </w:pPr>
      <w:bookmarkStart w:id="2" w:name="_Hlk11159062"/>
      <w:r w:rsidRPr="00DF071E">
        <w:rPr>
          <w:b w:val="0"/>
          <w:noProof/>
          <w:sz w:val="24"/>
          <w:lang w:val="en-US"/>
        </w:rPr>
        <w:drawing>
          <wp:inline distT="0" distB="0" distL="0" distR="0" wp14:anchorId="7BFEC571" wp14:editId="12294586">
            <wp:extent cx="360000" cy="360000"/>
            <wp:effectExtent l="0" t="0" r="2540" b="0"/>
            <wp:docPr id="21" name="Graphique 21" descr="Code-ba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rcode.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0000" cy="360000"/>
                    </a:xfrm>
                    <a:prstGeom prst="rect">
                      <a:avLst/>
                    </a:prstGeom>
                  </pic:spPr>
                </pic:pic>
              </a:graphicData>
            </a:graphic>
          </wp:inline>
        </w:drawing>
      </w:r>
      <w:r w:rsidRPr="00DF071E">
        <w:rPr>
          <w:b w:val="0"/>
          <w:sz w:val="24"/>
          <w:lang w:val="en-US"/>
        </w:rPr>
        <w:t xml:space="preserve"> </w:t>
      </w:r>
      <w:r w:rsidR="00E1530B" w:rsidRPr="00DF071E">
        <w:rPr>
          <w:b w:val="0"/>
          <w:sz w:val="24"/>
          <w:lang w:val="en-US"/>
        </w:rPr>
        <w:t xml:space="preserve">Percentage of products sold with ON-Pack nutritional information </w:t>
      </w:r>
    </w:p>
    <w:p w14:paraId="1E297F04" w14:textId="7542125F" w:rsidR="00E1530B" w:rsidRPr="00DF071E" w:rsidRDefault="00E1530B" w:rsidP="00E1530B">
      <w:pPr>
        <w:rPr>
          <w:i/>
          <w:sz w:val="20"/>
          <w:lang w:val="en-US"/>
        </w:rPr>
      </w:pPr>
      <w:r w:rsidRPr="00DF071E">
        <w:rPr>
          <w:sz w:val="20"/>
        </w:rPr>
        <w:t xml:space="preserve">This indicator is calculated for </w:t>
      </w:r>
      <w:r w:rsidR="005B38CE" w:rsidRPr="00DF071E">
        <w:rPr>
          <w:sz w:val="20"/>
          <w:lang w:val="en-US"/>
        </w:rPr>
        <w:t xml:space="preserve">Essential </w:t>
      </w:r>
      <w:r w:rsidRPr="00DF071E">
        <w:rPr>
          <w:sz w:val="20"/>
        </w:rPr>
        <w:t xml:space="preserve">Dairy Products, </w:t>
      </w:r>
      <w:r w:rsidR="00A133ED">
        <w:rPr>
          <w:sz w:val="20"/>
        </w:rPr>
        <w:t xml:space="preserve">the Early Life Nutrition and Advanced Medical Nutrition </w:t>
      </w:r>
      <w:r w:rsidR="00A133ED" w:rsidRPr="00DF071E">
        <w:rPr>
          <w:sz w:val="20"/>
        </w:rPr>
        <w:t>businesses</w:t>
      </w:r>
      <w:r w:rsidRPr="00DF071E">
        <w:rPr>
          <w:sz w:val="20"/>
        </w:rPr>
        <w:t xml:space="preserve">, and Aquadrinks (not relevant for </w:t>
      </w:r>
      <w:r w:rsidR="00705A8B">
        <w:rPr>
          <w:sz w:val="20"/>
        </w:rPr>
        <w:t>plain w</w:t>
      </w:r>
      <w:r w:rsidRPr="00DF071E">
        <w:rPr>
          <w:sz w:val="20"/>
        </w:rPr>
        <w:t>aters, which are subject to separate regulations).</w:t>
      </w:r>
      <w:r w:rsidRPr="00DF071E">
        <w:rPr>
          <w:i/>
          <w:sz w:val="20"/>
          <w:lang w:val="en-US"/>
        </w:rPr>
        <w:t xml:space="preserve"> </w:t>
      </w:r>
    </w:p>
    <w:p w14:paraId="761E0E35" w14:textId="77777777" w:rsidR="00ED0C34" w:rsidRPr="00DF071E" w:rsidRDefault="00ED0C34" w:rsidP="00ED0C34">
      <w:pPr>
        <w:jc w:val="left"/>
        <w:rPr>
          <w:sz w:val="20"/>
        </w:rPr>
      </w:pPr>
      <w:r>
        <w:rPr>
          <w:sz w:val="20"/>
        </w:rPr>
        <w:t xml:space="preserve">The </w:t>
      </w:r>
      <w:r w:rsidRPr="00DF071E">
        <w:rPr>
          <w:sz w:val="20"/>
        </w:rPr>
        <w:t xml:space="preserve">Early Life Nutrition </w:t>
      </w:r>
      <w:r>
        <w:rPr>
          <w:sz w:val="20"/>
        </w:rPr>
        <w:t xml:space="preserve">and Advanced Medical Nutrition </w:t>
      </w:r>
      <w:r w:rsidRPr="00DF071E">
        <w:rPr>
          <w:sz w:val="20"/>
        </w:rPr>
        <w:t>business</w:t>
      </w:r>
      <w:r>
        <w:rPr>
          <w:sz w:val="20"/>
        </w:rPr>
        <w:t>es</w:t>
      </w:r>
      <w:r w:rsidRPr="00DF071E">
        <w:rPr>
          <w:sz w:val="20"/>
          <w:lang w:val="en-US"/>
        </w:rPr>
        <w:t xml:space="preserve"> </w:t>
      </w:r>
      <w:r>
        <w:rPr>
          <w:sz w:val="20"/>
          <w:lang w:val="en-US"/>
        </w:rPr>
        <w:t>must</w:t>
      </w:r>
      <w:r w:rsidRPr="00DF071E">
        <w:rPr>
          <w:sz w:val="20"/>
        </w:rPr>
        <w:t xml:space="preserve"> follow specific local legislation. </w:t>
      </w:r>
    </w:p>
    <w:p w14:paraId="73DED1EB" w14:textId="6F43EAB9" w:rsidR="00E1530B" w:rsidRPr="00DF071E" w:rsidRDefault="00E1530B" w:rsidP="00FF0B91">
      <w:pPr>
        <w:jc w:val="left"/>
        <w:rPr>
          <w:sz w:val="20"/>
        </w:rPr>
      </w:pPr>
      <w:r w:rsidRPr="00DF071E">
        <w:rPr>
          <w:sz w:val="20"/>
        </w:rPr>
        <w:t xml:space="preserve">For </w:t>
      </w:r>
      <w:r w:rsidR="005B38CE" w:rsidRPr="00DF071E">
        <w:rPr>
          <w:sz w:val="20"/>
          <w:lang w:val="en-US"/>
        </w:rPr>
        <w:t xml:space="preserve">Essential </w:t>
      </w:r>
      <w:r w:rsidRPr="00DF071E">
        <w:rPr>
          <w:sz w:val="20"/>
        </w:rPr>
        <w:t xml:space="preserve">Dairy products and Aquadrinks, Danone provides corporate guidelines: for example, nutritional information on-pack means that </w:t>
      </w:r>
      <w:r w:rsidR="002919BE" w:rsidRPr="00705A8B">
        <w:rPr>
          <w:sz w:val="20"/>
        </w:rPr>
        <w:t>the following information is</w:t>
      </w:r>
      <w:r w:rsidRPr="00DF071E">
        <w:rPr>
          <w:sz w:val="20"/>
        </w:rPr>
        <w:t xml:space="preserve"> indicated on the pack per 100 g or per portion = Energy; Fat (of which saturates); Carbohydrates (of which sugars), Protein and Salt. The guidelines will apply in all countries unless there is a contradiction with local regulations. In that case, the subsidiary will be excluded from calculation.</w:t>
      </w:r>
    </w:p>
    <w:p w14:paraId="29389345" w14:textId="3E304F6A" w:rsidR="00B6329A" w:rsidRPr="00DF071E" w:rsidRDefault="00FB5051" w:rsidP="0023799A">
      <w:pPr>
        <w:jc w:val="left"/>
        <w:rPr>
          <w:sz w:val="20"/>
        </w:rPr>
      </w:pPr>
      <w:r w:rsidRPr="00DF071E">
        <w:rPr>
          <w:sz w:val="20"/>
          <w:lang w:val="en-US"/>
        </w:rPr>
        <w:t xml:space="preserve">All volumes distributed in the away from home channel (canteens, restaurants, …) are assessed as they are when they leave the Danone plant, knowing that the final presentation to the consumer is not under the control of Danone, and </w:t>
      </w:r>
      <w:r w:rsidR="002919BE" w:rsidRPr="00705A8B">
        <w:rPr>
          <w:sz w:val="20"/>
          <w:lang w:val="en-US"/>
        </w:rPr>
        <w:t>that,</w:t>
      </w:r>
      <w:r w:rsidR="002919BE">
        <w:rPr>
          <w:sz w:val="20"/>
          <w:lang w:val="en-US"/>
        </w:rPr>
        <w:t xml:space="preserve"> </w:t>
      </w:r>
      <w:r w:rsidRPr="00DF071E">
        <w:rPr>
          <w:sz w:val="20"/>
          <w:lang w:val="en-US"/>
        </w:rPr>
        <w:t>in that final presentation</w:t>
      </w:r>
      <w:r w:rsidR="002919BE" w:rsidRPr="00705A8B">
        <w:rPr>
          <w:sz w:val="20"/>
          <w:lang w:val="en-US"/>
        </w:rPr>
        <w:t>,</w:t>
      </w:r>
      <w:r w:rsidRPr="00DF071E">
        <w:rPr>
          <w:sz w:val="20"/>
          <w:lang w:val="en-US"/>
        </w:rPr>
        <w:t xml:space="preserve"> the nutritional labeling may disappear: products can be presented by the restaurant in single pots without the initial cardboard wrapping, or (for bulk products) transferred to another container. </w:t>
      </w:r>
      <w:r w:rsidR="0023799A" w:rsidRPr="00DF071E">
        <w:rPr>
          <w:sz w:val="20"/>
          <w:lang w:val="en-US"/>
        </w:rPr>
        <w:br/>
      </w:r>
      <w:r w:rsidR="003159B4" w:rsidRPr="00A133ED">
        <w:rPr>
          <w:sz w:val="20"/>
          <w:lang w:val="en-US"/>
        </w:rPr>
        <w:t>L</w:t>
      </w:r>
      <w:proofErr w:type="spellStart"/>
      <w:r w:rsidR="00F15A06" w:rsidRPr="00A133ED">
        <w:rPr>
          <w:sz w:val="20"/>
        </w:rPr>
        <w:t>ast</w:t>
      </w:r>
      <w:proofErr w:type="spellEnd"/>
      <w:r w:rsidR="00F15A06" w:rsidRPr="00A133ED">
        <w:rPr>
          <w:sz w:val="20"/>
        </w:rPr>
        <w:t xml:space="preserve"> year, th</w:t>
      </w:r>
      <w:r w:rsidR="0023799A" w:rsidRPr="00A133ED">
        <w:rPr>
          <w:sz w:val="20"/>
        </w:rPr>
        <w:t>is</w:t>
      </w:r>
      <w:r w:rsidR="003159B4" w:rsidRPr="00A133ED">
        <w:rPr>
          <w:sz w:val="20"/>
        </w:rPr>
        <w:t xml:space="preserve"> indicator</w:t>
      </w:r>
      <w:r w:rsidR="00F15A06" w:rsidRPr="00A133ED">
        <w:rPr>
          <w:sz w:val="20"/>
        </w:rPr>
        <w:t xml:space="preserve"> w</w:t>
      </w:r>
      <w:r w:rsidR="0023799A" w:rsidRPr="00A133ED">
        <w:rPr>
          <w:sz w:val="20"/>
        </w:rPr>
        <w:t>as</w:t>
      </w:r>
      <w:r w:rsidR="00F15A06" w:rsidRPr="00A133ED">
        <w:rPr>
          <w:sz w:val="20"/>
        </w:rPr>
        <w:t xml:space="preserve"> assessed on volume excluding the </w:t>
      </w:r>
      <w:r w:rsidR="00E53EB4">
        <w:rPr>
          <w:sz w:val="20"/>
        </w:rPr>
        <w:t>a</w:t>
      </w:r>
      <w:r w:rsidR="00F15A06" w:rsidRPr="00A133ED">
        <w:rPr>
          <w:sz w:val="20"/>
        </w:rPr>
        <w:t xml:space="preserve">way </w:t>
      </w:r>
      <w:r w:rsidR="00E53EB4">
        <w:rPr>
          <w:sz w:val="20"/>
        </w:rPr>
        <w:t>f</w:t>
      </w:r>
      <w:r w:rsidR="00F15A06" w:rsidRPr="00A133ED">
        <w:rPr>
          <w:sz w:val="20"/>
        </w:rPr>
        <w:t xml:space="preserve">rom </w:t>
      </w:r>
      <w:r w:rsidR="00E53EB4">
        <w:rPr>
          <w:sz w:val="20"/>
        </w:rPr>
        <w:t>h</w:t>
      </w:r>
      <w:r w:rsidR="00F15A06" w:rsidRPr="00A133ED">
        <w:rPr>
          <w:sz w:val="20"/>
        </w:rPr>
        <w:t>ome volumes</w:t>
      </w:r>
      <w:r w:rsidR="0023799A" w:rsidRPr="00A133ED">
        <w:rPr>
          <w:sz w:val="20"/>
        </w:rPr>
        <w:t>. T</w:t>
      </w:r>
      <w:r w:rsidR="00B6329A" w:rsidRPr="00A133ED">
        <w:rPr>
          <w:sz w:val="20"/>
        </w:rPr>
        <w:t xml:space="preserve">he </w:t>
      </w:r>
      <w:r w:rsidR="0023799A" w:rsidRPr="00A133ED">
        <w:rPr>
          <w:sz w:val="20"/>
        </w:rPr>
        <w:t>calculation</w:t>
      </w:r>
      <w:r w:rsidR="00B6329A" w:rsidRPr="00A133ED">
        <w:rPr>
          <w:sz w:val="20"/>
        </w:rPr>
        <w:t xml:space="preserve"> has changed in 201</w:t>
      </w:r>
      <w:r w:rsidR="0023799A" w:rsidRPr="00A133ED">
        <w:rPr>
          <w:sz w:val="20"/>
        </w:rPr>
        <w:t>8</w:t>
      </w:r>
      <w:r w:rsidR="00B6329A" w:rsidRPr="00A133ED">
        <w:rPr>
          <w:sz w:val="20"/>
        </w:rPr>
        <w:t xml:space="preserve">, </w:t>
      </w:r>
      <w:proofErr w:type="gramStart"/>
      <w:r w:rsidR="0023799A" w:rsidRPr="00A133ED">
        <w:rPr>
          <w:sz w:val="20"/>
        </w:rPr>
        <w:t>taking into account</w:t>
      </w:r>
      <w:proofErr w:type="gramEnd"/>
      <w:r w:rsidR="0023799A" w:rsidRPr="00A133ED">
        <w:rPr>
          <w:sz w:val="20"/>
        </w:rPr>
        <w:t xml:space="preserve"> total volumes</w:t>
      </w:r>
      <w:r w:rsidR="00B6329A" w:rsidRPr="00A133ED">
        <w:rPr>
          <w:sz w:val="20"/>
        </w:rPr>
        <w:t>.</w:t>
      </w:r>
    </w:p>
    <w:p w14:paraId="600F8D37" w14:textId="77777777" w:rsidR="00E1530B" w:rsidRPr="00D14A24" w:rsidRDefault="00E1530B" w:rsidP="00E1530B">
      <w:pPr>
        <w:pStyle w:val="NormalDanone"/>
        <w:rPr>
          <w:sz w:val="24"/>
          <w:lang w:val="en-US"/>
        </w:rPr>
      </w:pPr>
    </w:p>
    <w:p w14:paraId="4FA9522B" w14:textId="545CF328" w:rsidR="00E1530B" w:rsidRPr="00DF071E" w:rsidRDefault="003F0547" w:rsidP="00E1530B">
      <w:pPr>
        <w:pStyle w:val="Titre5Danone"/>
        <w:rPr>
          <w:b w:val="0"/>
          <w:sz w:val="24"/>
          <w:lang w:val="en-US"/>
        </w:rPr>
      </w:pPr>
      <w:r w:rsidRPr="00DF071E">
        <w:rPr>
          <w:b w:val="0"/>
          <w:noProof/>
          <w:sz w:val="24"/>
          <w:lang w:val="en-US"/>
        </w:rPr>
        <w:drawing>
          <wp:inline distT="0" distB="0" distL="0" distR="0" wp14:anchorId="05883046" wp14:editId="1E05A00F">
            <wp:extent cx="360000" cy="360000"/>
            <wp:effectExtent l="0" t="0" r="2540" b="0"/>
            <wp:docPr id="20" name="Graphique 20" descr="Ordinateur p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ptop.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0000" cy="360000"/>
                    </a:xfrm>
                    <a:prstGeom prst="rect">
                      <a:avLst/>
                    </a:prstGeom>
                  </pic:spPr>
                </pic:pic>
              </a:graphicData>
            </a:graphic>
          </wp:inline>
        </w:drawing>
      </w:r>
      <w:r w:rsidRPr="00DF071E">
        <w:rPr>
          <w:b w:val="0"/>
          <w:sz w:val="24"/>
          <w:lang w:val="en-US"/>
        </w:rPr>
        <w:t xml:space="preserve"> </w:t>
      </w:r>
      <w:r w:rsidR="00E1530B" w:rsidRPr="00DF071E">
        <w:rPr>
          <w:b w:val="0"/>
          <w:sz w:val="24"/>
          <w:lang w:val="en-US"/>
        </w:rPr>
        <w:t>Percentage of products sold with off-pack nutritional information</w:t>
      </w:r>
    </w:p>
    <w:p w14:paraId="2DC217A2" w14:textId="7FCA2F39" w:rsidR="00E1530B" w:rsidRPr="00DF071E" w:rsidRDefault="00E1530B" w:rsidP="00E1530B">
      <w:pPr>
        <w:rPr>
          <w:i/>
          <w:sz w:val="20"/>
          <w:lang w:val="en-US"/>
        </w:rPr>
      </w:pPr>
      <w:r w:rsidRPr="00DF071E">
        <w:rPr>
          <w:sz w:val="20"/>
        </w:rPr>
        <w:t xml:space="preserve">This percentage indicator is calculated for the </w:t>
      </w:r>
      <w:r w:rsidR="005B38CE" w:rsidRPr="00DF071E">
        <w:rPr>
          <w:sz w:val="20"/>
          <w:lang w:val="en-US"/>
        </w:rPr>
        <w:t xml:space="preserve">Essential </w:t>
      </w:r>
      <w:r w:rsidRPr="00DF071E">
        <w:rPr>
          <w:sz w:val="20"/>
        </w:rPr>
        <w:t xml:space="preserve">Dairy Products, </w:t>
      </w:r>
      <w:r w:rsidR="00A133ED">
        <w:rPr>
          <w:sz w:val="20"/>
        </w:rPr>
        <w:t xml:space="preserve">the Early Life Nutrition and Advanced Medical Nutrition </w:t>
      </w:r>
      <w:r w:rsidR="00A133ED" w:rsidRPr="00DF071E">
        <w:rPr>
          <w:sz w:val="20"/>
        </w:rPr>
        <w:t>businesses</w:t>
      </w:r>
      <w:r w:rsidRPr="00DF071E">
        <w:rPr>
          <w:sz w:val="20"/>
        </w:rPr>
        <w:t xml:space="preserve"> and Aquadrinks (not relevant for</w:t>
      </w:r>
      <w:r w:rsidR="00705A8B">
        <w:rPr>
          <w:sz w:val="20"/>
        </w:rPr>
        <w:t xml:space="preserve"> plain w</w:t>
      </w:r>
      <w:r w:rsidRPr="00DF071E">
        <w:rPr>
          <w:sz w:val="20"/>
        </w:rPr>
        <w:t>aters, which are subject to separate regulations).</w:t>
      </w:r>
      <w:r w:rsidRPr="00DF071E">
        <w:rPr>
          <w:i/>
          <w:sz w:val="20"/>
          <w:lang w:val="en-US"/>
        </w:rPr>
        <w:t xml:space="preserve"> </w:t>
      </w:r>
    </w:p>
    <w:p w14:paraId="3DD49CA6" w14:textId="483C1AEF" w:rsidR="00AB5B8B" w:rsidRPr="00DF071E" w:rsidRDefault="00AB5B8B" w:rsidP="00AB5B8B">
      <w:pPr>
        <w:jc w:val="left"/>
        <w:rPr>
          <w:sz w:val="20"/>
        </w:rPr>
      </w:pPr>
      <w:r>
        <w:rPr>
          <w:sz w:val="20"/>
        </w:rPr>
        <w:t xml:space="preserve">The </w:t>
      </w:r>
      <w:r w:rsidRPr="00DF071E">
        <w:rPr>
          <w:sz w:val="20"/>
        </w:rPr>
        <w:t xml:space="preserve">Early Life Nutrition </w:t>
      </w:r>
      <w:r>
        <w:rPr>
          <w:sz w:val="20"/>
        </w:rPr>
        <w:t xml:space="preserve">and Advanced Medical Nutrition </w:t>
      </w:r>
      <w:r w:rsidRPr="00DF071E">
        <w:rPr>
          <w:sz w:val="20"/>
        </w:rPr>
        <w:t>business</w:t>
      </w:r>
      <w:r>
        <w:rPr>
          <w:sz w:val="20"/>
        </w:rPr>
        <w:t>es</w:t>
      </w:r>
      <w:r w:rsidRPr="00DF071E">
        <w:rPr>
          <w:sz w:val="20"/>
          <w:lang w:val="en-US"/>
        </w:rPr>
        <w:t xml:space="preserve"> </w:t>
      </w:r>
      <w:r>
        <w:rPr>
          <w:sz w:val="20"/>
          <w:lang w:val="en-US"/>
        </w:rPr>
        <w:t>must</w:t>
      </w:r>
      <w:r w:rsidRPr="00DF071E">
        <w:rPr>
          <w:sz w:val="20"/>
        </w:rPr>
        <w:t xml:space="preserve"> follow specific local legislation. </w:t>
      </w:r>
    </w:p>
    <w:p w14:paraId="60DF967F" w14:textId="5154F158" w:rsidR="00E1530B" w:rsidRPr="00DF071E" w:rsidRDefault="00E1530B" w:rsidP="00FF0B91">
      <w:pPr>
        <w:jc w:val="left"/>
        <w:rPr>
          <w:sz w:val="20"/>
        </w:rPr>
      </w:pPr>
      <w:r w:rsidRPr="00DF071E">
        <w:rPr>
          <w:sz w:val="20"/>
        </w:rPr>
        <w:t xml:space="preserve">For </w:t>
      </w:r>
      <w:r w:rsidR="005B38CE" w:rsidRPr="00DF071E">
        <w:rPr>
          <w:sz w:val="20"/>
          <w:lang w:val="en-US"/>
        </w:rPr>
        <w:t xml:space="preserve">Essential </w:t>
      </w:r>
      <w:r w:rsidRPr="00DF071E">
        <w:rPr>
          <w:sz w:val="20"/>
        </w:rPr>
        <w:t>Dairy products and Aquadrinks, Danone provides corporate guidelines</w:t>
      </w:r>
      <w:r w:rsidR="00FF0B91" w:rsidRPr="00DF071E">
        <w:rPr>
          <w:sz w:val="20"/>
        </w:rPr>
        <w:t xml:space="preserve"> explaining which information need to be provided through a consumer info line or a website.</w:t>
      </w:r>
    </w:p>
    <w:p w14:paraId="3B572449" w14:textId="3AF14579" w:rsidR="00612AA9" w:rsidRPr="00DF071E" w:rsidRDefault="00612AA9" w:rsidP="00612AA9">
      <w:pPr>
        <w:jc w:val="left"/>
        <w:rPr>
          <w:sz w:val="20"/>
        </w:rPr>
      </w:pPr>
      <w:r w:rsidRPr="00AB5B8B">
        <w:rPr>
          <w:sz w:val="20"/>
          <w:lang w:val="en-US"/>
        </w:rPr>
        <w:t>L</w:t>
      </w:r>
      <w:proofErr w:type="spellStart"/>
      <w:r w:rsidRPr="00AB5B8B">
        <w:rPr>
          <w:sz w:val="20"/>
        </w:rPr>
        <w:t>ast</w:t>
      </w:r>
      <w:proofErr w:type="spellEnd"/>
      <w:r w:rsidRPr="00AB5B8B">
        <w:rPr>
          <w:sz w:val="20"/>
        </w:rPr>
        <w:t xml:space="preserve"> year, to </w:t>
      </w:r>
      <w:proofErr w:type="spellStart"/>
      <w:r w:rsidRPr="00AB5B8B">
        <w:rPr>
          <w:sz w:val="20"/>
        </w:rPr>
        <w:t>homogeneize</w:t>
      </w:r>
      <w:proofErr w:type="spellEnd"/>
      <w:r w:rsidRPr="00AB5B8B">
        <w:rPr>
          <w:sz w:val="20"/>
        </w:rPr>
        <w:t xml:space="preserve"> the calculation, this indicator was assessed on volume excluding the </w:t>
      </w:r>
      <w:r w:rsidR="00E53EB4">
        <w:rPr>
          <w:sz w:val="20"/>
        </w:rPr>
        <w:t>a</w:t>
      </w:r>
      <w:r w:rsidRPr="00AB5B8B">
        <w:rPr>
          <w:sz w:val="20"/>
        </w:rPr>
        <w:t xml:space="preserve">way </w:t>
      </w:r>
      <w:r w:rsidR="00E53EB4">
        <w:rPr>
          <w:sz w:val="20"/>
        </w:rPr>
        <w:t>f</w:t>
      </w:r>
      <w:r w:rsidRPr="00AB5B8B">
        <w:rPr>
          <w:sz w:val="20"/>
        </w:rPr>
        <w:t xml:space="preserve">rom </w:t>
      </w:r>
      <w:r w:rsidR="00E53EB4">
        <w:rPr>
          <w:sz w:val="20"/>
        </w:rPr>
        <w:t>h</w:t>
      </w:r>
      <w:r w:rsidRPr="00AB5B8B">
        <w:rPr>
          <w:sz w:val="20"/>
        </w:rPr>
        <w:t xml:space="preserve">ome volumes. The calculation has changed in 2018, </w:t>
      </w:r>
      <w:proofErr w:type="gramStart"/>
      <w:r w:rsidRPr="00AB5B8B">
        <w:rPr>
          <w:sz w:val="20"/>
        </w:rPr>
        <w:t>taking into account</w:t>
      </w:r>
      <w:proofErr w:type="gramEnd"/>
      <w:r w:rsidRPr="00AB5B8B">
        <w:rPr>
          <w:sz w:val="20"/>
        </w:rPr>
        <w:t xml:space="preserve"> total volumes.</w:t>
      </w:r>
    </w:p>
    <w:p w14:paraId="42BB8EA4" w14:textId="71A0A7ED" w:rsidR="00612AA9" w:rsidRPr="00D14A24" w:rsidRDefault="00612AA9" w:rsidP="00FF0B91">
      <w:pPr>
        <w:jc w:val="left"/>
        <w:rPr>
          <w:sz w:val="24"/>
        </w:rPr>
      </w:pPr>
    </w:p>
    <w:p w14:paraId="46B82D0E" w14:textId="0CE91855" w:rsidR="002D6E5C" w:rsidRPr="00DF071E" w:rsidRDefault="003F0547" w:rsidP="002D6E5C">
      <w:pPr>
        <w:pStyle w:val="Titre5Danone"/>
        <w:rPr>
          <w:b w:val="0"/>
          <w:sz w:val="24"/>
          <w:lang w:val="en-US"/>
        </w:rPr>
      </w:pPr>
      <w:bookmarkStart w:id="3" w:name="_Hlk10792843"/>
      <w:r w:rsidRPr="00DF071E">
        <w:rPr>
          <w:b w:val="0"/>
          <w:noProof/>
          <w:sz w:val="24"/>
          <w:lang w:val="en-US"/>
        </w:rPr>
        <w:drawing>
          <wp:inline distT="0" distB="0" distL="0" distR="0" wp14:anchorId="58B46A34" wp14:editId="0C234BD5">
            <wp:extent cx="360000" cy="360000"/>
            <wp:effectExtent l="0" t="0" r="2540" b="2540"/>
            <wp:docPr id="19" name="Graphique 19" descr="Pizza ent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olePizz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0000" cy="360000"/>
                    </a:xfrm>
                    <a:prstGeom prst="rect">
                      <a:avLst/>
                    </a:prstGeom>
                  </pic:spPr>
                </pic:pic>
              </a:graphicData>
            </a:graphic>
          </wp:inline>
        </w:drawing>
      </w:r>
      <w:r w:rsidRPr="00DF071E">
        <w:rPr>
          <w:b w:val="0"/>
          <w:sz w:val="24"/>
          <w:lang w:val="en-US"/>
        </w:rPr>
        <w:t xml:space="preserve"> </w:t>
      </w:r>
      <w:r w:rsidR="002D6E5C" w:rsidRPr="00DF071E">
        <w:rPr>
          <w:b w:val="0"/>
          <w:sz w:val="24"/>
          <w:lang w:val="en-US"/>
        </w:rPr>
        <w:t>Percentage of products sold providing an indication of the portion size</w:t>
      </w:r>
    </w:p>
    <w:p w14:paraId="55BC6719" w14:textId="046982C3" w:rsidR="0072201F" w:rsidRPr="00DF071E" w:rsidRDefault="002D6E5C" w:rsidP="002D6E5C">
      <w:pPr>
        <w:rPr>
          <w:i/>
          <w:sz w:val="20"/>
          <w:lang w:val="en-US"/>
        </w:rPr>
      </w:pPr>
      <w:r w:rsidRPr="00DF071E">
        <w:rPr>
          <w:sz w:val="20"/>
        </w:rPr>
        <w:t xml:space="preserve">This indicator is calculated for the </w:t>
      </w:r>
      <w:r w:rsidR="005B38CE" w:rsidRPr="00DF071E">
        <w:rPr>
          <w:sz w:val="20"/>
          <w:lang w:val="en-US"/>
        </w:rPr>
        <w:t xml:space="preserve">Essential </w:t>
      </w:r>
      <w:r w:rsidRPr="00DF071E">
        <w:rPr>
          <w:sz w:val="20"/>
        </w:rPr>
        <w:t>Dairy Products,</w:t>
      </w:r>
      <w:r w:rsidR="00D54D9B" w:rsidRPr="00DF071E">
        <w:rPr>
          <w:sz w:val="20"/>
        </w:rPr>
        <w:t xml:space="preserve"> </w:t>
      </w:r>
      <w:r w:rsidR="00D54D9B">
        <w:rPr>
          <w:sz w:val="20"/>
        </w:rPr>
        <w:t xml:space="preserve">the Early Life Nutrition and Advanced Medical Nutrition </w:t>
      </w:r>
      <w:r w:rsidR="00D54D9B" w:rsidRPr="00DF071E">
        <w:rPr>
          <w:sz w:val="20"/>
        </w:rPr>
        <w:t>businesses</w:t>
      </w:r>
      <w:r w:rsidRPr="00DF071E">
        <w:rPr>
          <w:sz w:val="20"/>
        </w:rPr>
        <w:t xml:space="preserve"> and Aquadrinks (not relevant for</w:t>
      </w:r>
      <w:r w:rsidR="00705A8B">
        <w:rPr>
          <w:sz w:val="20"/>
        </w:rPr>
        <w:t xml:space="preserve"> plain w</w:t>
      </w:r>
      <w:r w:rsidRPr="00DF071E">
        <w:rPr>
          <w:sz w:val="20"/>
        </w:rPr>
        <w:t>aters, which are subject to separate regulations).</w:t>
      </w:r>
      <w:r w:rsidRPr="00DF071E">
        <w:rPr>
          <w:i/>
          <w:sz w:val="20"/>
          <w:lang w:val="en-US"/>
        </w:rPr>
        <w:t xml:space="preserve"> </w:t>
      </w:r>
    </w:p>
    <w:p w14:paraId="4225FF40" w14:textId="1A612454" w:rsidR="000A3A18" w:rsidRPr="00DF071E" w:rsidRDefault="002D6E5C" w:rsidP="002D6E5C">
      <w:pPr>
        <w:rPr>
          <w:sz w:val="20"/>
          <w:lang w:val="en-US"/>
        </w:rPr>
      </w:pPr>
      <w:r w:rsidRPr="00DF071E">
        <w:rPr>
          <w:sz w:val="20"/>
          <w:lang w:val="en-US"/>
        </w:rPr>
        <w:t xml:space="preserve">For the </w:t>
      </w:r>
      <w:r w:rsidR="0072201F" w:rsidRPr="00DF071E">
        <w:rPr>
          <w:sz w:val="20"/>
          <w:lang w:val="en-US"/>
        </w:rPr>
        <w:t xml:space="preserve">Advanced </w:t>
      </w:r>
      <w:r w:rsidRPr="00DF071E">
        <w:rPr>
          <w:sz w:val="20"/>
          <w:lang w:val="en-US"/>
        </w:rPr>
        <w:t>Medical Nutritio</w:t>
      </w:r>
      <w:r w:rsidR="00D54D9B">
        <w:rPr>
          <w:sz w:val="20"/>
          <w:lang w:val="en-US"/>
        </w:rPr>
        <w:t>n business</w:t>
      </w:r>
      <w:r w:rsidRPr="00DF071E">
        <w:rPr>
          <w:sz w:val="20"/>
          <w:lang w:val="en-US"/>
        </w:rPr>
        <w:t xml:space="preserve">, 100% is </w:t>
      </w:r>
      <w:proofErr w:type="gramStart"/>
      <w:r w:rsidRPr="00DF071E">
        <w:rPr>
          <w:sz w:val="20"/>
          <w:lang w:val="en-US"/>
        </w:rPr>
        <w:t>by definition applied</w:t>
      </w:r>
      <w:proofErr w:type="gramEnd"/>
      <w:r w:rsidRPr="00DF071E">
        <w:rPr>
          <w:sz w:val="20"/>
          <w:lang w:val="en-US"/>
        </w:rPr>
        <w:t xml:space="preserve"> due to the fact that products are prescribed by </w:t>
      </w:r>
      <w:r w:rsidR="00D54D9B">
        <w:rPr>
          <w:sz w:val="20"/>
          <w:lang w:val="en-US"/>
        </w:rPr>
        <w:t>H</w:t>
      </w:r>
      <w:r w:rsidRPr="00DF071E">
        <w:rPr>
          <w:sz w:val="20"/>
          <w:lang w:val="en-US"/>
        </w:rPr>
        <w:t xml:space="preserve">ealthcare </w:t>
      </w:r>
      <w:r w:rsidR="00D54D9B">
        <w:rPr>
          <w:sz w:val="20"/>
          <w:lang w:val="en-US"/>
        </w:rPr>
        <w:t>P</w:t>
      </w:r>
      <w:r w:rsidRPr="00DF071E">
        <w:rPr>
          <w:sz w:val="20"/>
          <w:lang w:val="en-US"/>
        </w:rPr>
        <w:t xml:space="preserve">rofessionals and labelling has to follow the local legislation. </w:t>
      </w:r>
    </w:p>
    <w:p w14:paraId="2EE90FE2" w14:textId="45F182F2" w:rsidR="00452A55" w:rsidRPr="00DF071E" w:rsidRDefault="00D54D9B" w:rsidP="00A6175A">
      <w:pPr>
        <w:jc w:val="left"/>
        <w:rPr>
          <w:sz w:val="20"/>
        </w:rPr>
      </w:pPr>
      <w:r>
        <w:rPr>
          <w:sz w:val="20"/>
        </w:rPr>
        <w:t xml:space="preserve">The </w:t>
      </w:r>
      <w:r w:rsidR="00FB5051" w:rsidRPr="00DF071E">
        <w:rPr>
          <w:sz w:val="20"/>
        </w:rPr>
        <w:t xml:space="preserve">Early Life Nutrition </w:t>
      </w:r>
      <w:r w:rsidR="00B179BF" w:rsidRPr="00DF071E">
        <w:rPr>
          <w:sz w:val="20"/>
        </w:rPr>
        <w:t>business</w:t>
      </w:r>
      <w:r w:rsidR="00FB5051" w:rsidRPr="00DF071E">
        <w:rPr>
          <w:sz w:val="20"/>
          <w:lang w:val="en-US"/>
        </w:rPr>
        <w:t xml:space="preserve"> </w:t>
      </w:r>
      <w:r w:rsidR="00DB1A87" w:rsidRPr="00DF071E">
        <w:rPr>
          <w:sz w:val="20"/>
        </w:rPr>
        <w:t>must</w:t>
      </w:r>
      <w:r w:rsidR="00452A55" w:rsidRPr="00DF071E">
        <w:rPr>
          <w:sz w:val="20"/>
        </w:rPr>
        <w:t xml:space="preserve"> follow specific local legislation. </w:t>
      </w:r>
    </w:p>
    <w:p w14:paraId="03396214" w14:textId="23ED1446" w:rsidR="000A3A18" w:rsidRPr="00DF071E" w:rsidRDefault="00452A55" w:rsidP="00FF0B91">
      <w:pPr>
        <w:jc w:val="left"/>
        <w:rPr>
          <w:sz w:val="20"/>
        </w:rPr>
      </w:pPr>
      <w:r w:rsidRPr="00DF071E">
        <w:rPr>
          <w:sz w:val="20"/>
        </w:rPr>
        <w:lastRenderedPageBreak/>
        <w:t xml:space="preserve">For </w:t>
      </w:r>
      <w:r w:rsidR="005B38CE" w:rsidRPr="00DF071E">
        <w:rPr>
          <w:sz w:val="20"/>
          <w:lang w:val="en-US"/>
        </w:rPr>
        <w:t xml:space="preserve">Essential </w:t>
      </w:r>
      <w:r w:rsidRPr="00DF071E">
        <w:rPr>
          <w:sz w:val="20"/>
        </w:rPr>
        <w:t xml:space="preserve">Dairy products and </w:t>
      </w:r>
      <w:r w:rsidR="00E1530B" w:rsidRPr="00DF071E">
        <w:rPr>
          <w:sz w:val="20"/>
        </w:rPr>
        <w:t>Aquadrinks</w:t>
      </w:r>
      <w:r w:rsidRPr="00DF071E">
        <w:rPr>
          <w:sz w:val="20"/>
        </w:rPr>
        <w:t xml:space="preserve">, </w:t>
      </w:r>
      <w:r w:rsidR="001C02DB" w:rsidRPr="00DF071E">
        <w:rPr>
          <w:sz w:val="20"/>
        </w:rPr>
        <w:t>Danone</w:t>
      </w:r>
      <w:r w:rsidRPr="00DF071E">
        <w:rPr>
          <w:sz w:val="20"/>
        </w:rPr>
        <w:t xml:space="preserve"> provides</w:t>
      </w:r>
      <w:r w:rsidR="001C02DB" w:rsidRPr="00DF071E">
        <w:rPr>
          <w:sz w:val="20"/>
        </w:rPr>
        <w:t xml:space="preserve"> </w:t>
      </w:r>
      <w:r w:rsidRPr="00DF071E">
        <w:rPr>
          <w:sz w:val="20"/>
        </w:rPr>
        <w:t>corporate guidelines</w:t>
      </w:r>
      <w:r w:rsidR="00FF0B91" w:rsidRPr="00DF071E">
        <w:rPr>
          <w:sz w:val="20"/>
        </w:rPr>
        <w:t xml:space="preserve"> explaining</w:t>
      </w:r>
      <w:r w:rsidR="00FB5051" w:rsidRPr="00DF071E">
        <w:rPr>
          <w:sz w:val="20"/>
        </w:rPr>
        <w:t xml:space="preserve"> </w:t>
      </w:r>
      <w:r w:rsidR="00FF0B91" w:rsidRPr="00DF071E">
        <w:rPr>
          <w:sz w:val="20"/>
        </w:rPr>
        <w:t>that a “</w:t>
      </w:r>
      <w:r w:rsidR="00E1530B" w:rsidRPr="00DF071E">
        <w:rPr>
          <w:sz w:val="20"/>
        </w:rPr>
        <w:t>portion</w:t>
      </w:r>
      <w:r w:rsidR="00FF0B91" w:rsidRPr="00DF071E">
        <w:rPr>
          <w:sz w:val="20"/>
        </w:rPr>
        <w:t>”</w:t>
      </w:r>
      <w:r w:rsidR="00E1530B" w:rsidRPr="00DF071E">
        <w:rPr>
          <w:sz w:val="20"/>
        </w:rPr>
        <w:t xml:space="preserve"> is the quantity that the consumer is supposed to eat in one occasion. It can be a single consumption unit</w:t>
      </w:r>
      <w:r w:rsidR="00FB5051" w:rsidRPr="00DF071E">
        <w:rPr>
          <w:sz w:val="20"/>
        </w:rPr>
        <w:t>.</w:t>
      </w:r>
      <w:r w:rsidR="00FF0B91" w:rsidRPr="00DF071E">
        <w:rPr>
          <w:sz w:val="20"/>
        </w:rPr>
        <w:t xml:space="preserve"> </w:t>
      </w:r>
      <w:r w:rsidR="00E1530B" w:rsidRPr="00DF071E">
        <w:rPr>
          <w:sz w:val="20"/>
        </w:rPr>
        <w:t>The portion must be easily recognized by the consumer</w:t>
      </w:r>
      <w:r w:rsidR="00FF0B91" w:rsidRPr="00DF071E">
        <w:rPr>
          <w:sz w:val="20"/>
        </w:rPr>
        <w:t xml:space="preserve">; </w:t>
      </w:r>
      <w:r w:rsidR="002919BE" w:rsidRPr="00705A8B">
        <w:rPr>
          <w:sz w:val="20"/>
        </w:rPr>
        <w:t>and</w:t>
      </w:r>
      <w:r w:rsidR="002919BE">
        <w:rPr>
          <w:sz w:val="20"/>
        </w:rPr>
        <w:t xml:space="preserve"> </w:t>
      </w:r>
      <w:r w:rsidR="00E1530B" w:rsidRPr="00DF071E">
        <w:rPr>
          <w:sz w:val="20"/>
        </w:rPr>
        <w:t>must be quantified on the label. The number of portions contained in the package must be stated.</w:t>
      </w:r>
      <w:r w:rsidR="00FF0B91" w:rsidRPr="00DF071E">
        <w:rPr>
          <w:sz w:val="20"/>
        </w:rPr>
        <w:t xml:space="preserve"> </w:t>
      </w:r>
      <w:r w:rsidR="00E1530B" w:rsidRPr="00DF071E">
        <w:rPr>
          <w:sz w:val="20"/>
        </w:rPr>
        <w:t>The guidelines will apply in all countries unless there is a contradiction with local regulations. In that case, the subsidiary will be excluded from calculation.</w:t>
      </w:r>
    </w:p>
    <w:p w14:paraId="3E098D61" w14:textId="16B0D4DD" w:rsidR="00FB5051" w:rsidRPr="00DF071E" w:rsidRDefault="00FB5051" w:rsidP="0023799A">
      <w:pPr>
        <w:jc w:val="left"/>
        <w:rPr>
          <w:sz w:val="20"/>
        </w:rPr>
      </w:pPr>
      <w:r w:rsidRPr="00DF071E">
        <w:rPr>
          <w:sz w:val="20"/>
          <w:lang w:val="en-US"/>
        </w:rPr>
        <w:t xml:space="preserve">All volumes distributed in the away from home channel (canteens, restaurants, …) are assessed as they are when they leave the Danone plant, knowing that the final presentation to the consumer is not under the control of Danone, and </w:t>
      </w:r>
      <w:r w:rsidR="002919BE" w:rsidRPr="00705A8B">
        <w:rPr>
          <w:sz w:val="20"/>
          <w:lang w:val="en-US"/>
        </w:rPr>
        <w:t xml:space="preserve">that, </w:t>
      </w:r>
      <w:r w:rsidRPr="00705A8B">
        <w:rPr>
          <w:sz w:val="20"/>
          <w:lang w:val="en-US"/>
        </w:rPr>
        <w:t>in</w:t>
      </w:r>
      <w:r w:rsidRPr="00DF071E">
        <w:rPr>
          <w:sz w:val="20"/>
          <w:lang w:val="en-US"/>
        </w:rPr>
        <w:t xml:space="preserve"> that final presentation</w:t>
      </w:r>
      <w:r w:rsidR="002919BE" w:rsidRPr="00705A8B">
        <w:rPr>
          <w:sz w:val="20"/>
          <w:lang w:val="en-US"/>
        </w:rPr>
        <w:t>,</w:t>
      </w:r>
      <w:r w:rsidRPr="00DF071E">
        <w:rPr>
          <w:sz w:val="20"/>
          <w:lang w:val="en-US"/>
        </w:rPr>
        <w:t xml:space="preserve"> the nutritional labeling may disappear: products can be presented by the restaurant in single pots without the initial cardboard wrapping, or (for bulk products) transferred to another container. </w:t>
      </w:r>
      <w:r w:rsidR="0023799A" w:rsidRPr="00DF071E">
        <w:rPr>
          <w:sz w:val="20"/>
          <w:lang w:val="en-US"/>
        </w:rPr>
        <w:br/>
      </w:r>
      <w:r w:rsidR="0023799A" w:rsidRPr="00E53EB4">
        <w:rPr>
          <w:sz w:val="20"/>
          <w:lang w:val="en-US"/>
        </w:rPr>
        <w:t>L</w:t>
      </w:r>
      <w:proofErr w:type="spellStart"/>
      <w:r w:rsidR="0023799A" w:rsidRPr="00E53EB4">
        <w:rPr>
          <w:sz w:val="20"/>
        </w:rPr>
        <w:t>ast</w:t>
      </w:r>
      <w:proofErr w:type="spellEnd"/>
      <w:r w:rsidR="0023799A" w:rsidRPr="00E53EB4">
        <w:rPr>
          <w:sz w:val="20"/>
        </w:rPr>
        <w:t xml:space="preserve"> year, this indicator was assessed on volume excluding the </w:t>
      </w:r>
      <w:r w:rsidR="00E53EB4" w:rsidRPr="00E53EB4">
        <w:rPr>
          <w:sz w:val="20"/>
        </w:rPr>
        <w:t>a</w:t>
      </w:r>
      <w:r w:rsidR="0023799A" w:rsidRPr="00E53EB4">
        <w:rPr>
          <w:sz w:val="20"/>
        </w:rPr>
        <w:t xml:space="preserve">way </w:t>
      </w:r>
      <w:r w:rsidR="00E53EB4" w:rsidRPr="00E53EB4">
        <w:rPr>
          <w:sz w:val="20"/>
        </w:rPr>
        <w:t>f</w:t>
      </w:r>
      <w:r w:rsidR="0023799A" w:rsidRPr="00E53EB4">
        <w:rPr>
          <w:sz w:val="20"/>
        </w:rPr>
        <w:t xml:space="preserve">rom </w:t>
      </w:r>
      <w:r w:rsidR="00E53EB4" w:rsidRPr="00E53EB4">
        <w:rPr>
          <w:sz w:val="20"/>
        </w:rPr>
        <w:t>h</w:t>
      </w:r>
      <w:r w:rsidR="0023799A" w:rsidRPr="00E53EB4">
        <w:rPr>
          <w:sz w:val="20"/>
        </w:rPr>
        <w:t xml:space="preserve">ome volumes. The calculation has changed in 2018, </w:t>
      </w:r>
      <w:proofErr w:type="gramStart"/>
      <w:r w:rsidR="0023799A" w:rsidRPr="00E53EB4">
        <w:rPr>
          <w:sz w:val="20"/>
        </w:rPr>
        <w:t>taking into account</w:t>
      </w:r>
      <w:proofErr w:type="gramEnd"/>
      <w:r w:rsidR="0023799A" w:rsidRPr="00E53EB4">
        <w:rPr>
          <w:sz w:val="20"/>
        </w:rPr>
        <w:t xml:space="preserve"> total volumes.</w:t>
      </w:r>
    </w:p>
    <w:p w14:paraId="2F920FF7" w14:textId="77777777" w:rsidR="00E1530B" w:rsidRPr="00146EC2" w:rsidRDefault="00E1530B" w:rsidP="000A3A18"/>
    <w:p w14:paraId="4B745608" w14:textId="41E50475" w:rsidR="000A3A18" w:rsidRPr="00DF071E" w:rsidRDefault="003F0547" w:rsidP="000A3A18">
      <w:pPr>
        <w:pStyle w:val="Titre5Danone"/>
        <w:rPr>
          <w:b w:val="0"/>
          <w:sz w:val="24"/>
          <w:lang w:val="en-US"/>
        </w:rPr>
      </w:pPr>
      <w:r w:rsidRPr="00DF071E">
        <w:rPr>
          <w:noProof/>
          <w:sz w:val="24"/>
        </w:rPr>
        <w:drawing>
          <wp:inline distT="0" distB="0" distL="0" distR="0" wp14:anchorId="12034DB6" wp14:editId="6BB2B560">
            <wp:extent cx="388017" cy="49127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BEBA8EAE-BF5A-486C-A8C5-ECC9F3942E4B}">
                          <a14:imgProps xmlns:a14="http://schemas.microsoft.com/office/drawing/2010/main">
                            <a14:imgLayer r:embed="rId32">
                              <a14:imgEffect>
                                <a14:saturation sat="0"/>
                              </a14:imgEffect>
                            </a14:imgLayer>
                          </a14:imgProps>
                        </a:ext>
                      </a:extLst>
                    </a:blip>
                    <a:stretch>
                      <a:fillRect/>
                    </a:stretch>
                  </pic:blipFill>
                  <pic:spPr>
                    <a:xfrm>
                      <a:off x="0" y="0"/>
                      <a:ext cx="412813" cy="522674"/>
                    </a:xfrm>
                    <a:prstGeom prst="rect">
                      <a:avLst/>
                    </a:prstGeom>
                  </pic:spPr>
                </pic:pic>
              </a:graphicData>
            </a:graphic>
          </wp:inline>
        </w:drawing>
      </w:r>
      <w:r w:rsidRPr="00DF071E">
        <w:rPr>
          <w:b w:val="0"/>
          <w:sz w:val="24"/>
          <w:lang w:val="en-US"/>
        </w:rPr>
        <w:t xml:space="preserve"> </w:t>
      </w:r>
      <w:r w:rsidR="000A3A18" w:rsidRPr="00DF071E">
        <w:rPr>
          <w:b w:val="0"/>
          <w:sz w:val="24"/>
          <w:lang w:val="en-US"/>
        </w:rPr>
        <w:t>Percentage of products sold with front-of-pack nutritional information</w:t>
      </w:r>
    </w:p>
    <w:p w14:paraId="4040B601" w14:textId="295A4EE4" w:rsidR="000A3A18" w:rsidRPr="00DF071E" w:rsidRDefault="000A3A18" w:rsidP="000A3A18">
      <w:pPr>
        <w:rPr>
          <w:sz w:val="20"/>
        </w:rPr>
      </w:pPr>
      <w:r w:rsidRPr="00DF071E">
        <w:rPr>
          <w:sz w:val="20"/>
        </w:rPr>
        <w:t xml:space="preserve">This indicator is calculated for </w:t>
      </w:r>
      <w:r w:rsidR="005B38CE" w:rsidRPr="00DF071E">
        <w:rPr>
          <w:sz w:val="20"/>
          <w:lang w:val="en-US"/>
        </w:rPr>
        <w:t xml:space="preserve">Essential </w:t>
      </w:r>
      <w:r w:rsidRPr="00DF071E">
        <w:rPr>
          <w:sz w:val="20"/>
        </w:rPr>
        <w:t>Dairy Products and Aquadrinks</w:t>
      </w:r>
      <w:r w:rsidR="007F7659" w:rsidRPr="00DF071E">
        <w:rPr>
          <w:sz w:val="20"/>
        </w:rPr>
        <w:t xml:space="preserve"> (not relevant for</w:t>
      </w:r>
      <w:r w:rsidR="005E4854">
        <w:rPr>
          <w:sz w:val="20"/>
        </w:rPr>
        <w:t xml:space="preserve"> plain w</w:t>
      </w:r>
      <w:r w:rsidR="007F7659" w:rsidRPr="00DF071E">
        <w:rPr>
          <w:sz w:val="20"/>
        </w:rPr>
        <w:t>aters</w:t>
      </w:r>
      <w:r w:rsidR="00AD578B" w:rsidRPr="00DF071E">
        <w:rPr>
          <w:sz w:val="20"/>
        </w:rPr>
        <w:t xml:space="preserve"> </w:t>
      </w:r>
      <w:r w:rsidR="00AD578B" w:rsidRPr="00E53EB4">
        <w:rPr>
          <w:sz w:val="20"/>
        </w:rPr>
        <w:t xml:space="preserve">and </w:t>
      </w:r>
      <w:r w:rsidR="00E53EB4">
        <w:rPr>
          <w:sz w:val="20"/>
        </w:rPr>
        <w:t xml:space="preserve">Early Life Nutrition and Advanced Medical </w:t>
      </w:r>
      <w:r w:rsidR="00AD578B" w:rsidRPr="00E53EB4">
        <w:rPr>
          <w:sz w:val="20"/>
          <w:lang w:val="en-US"/>
        </w:rPr>
        <w:t xml:space="preserve">Nutrition </w:t>
      </w:r>
      <w:r w:rsidR="00AD578B" w:rsidRPr="00E53EB4">
        <w:rPr>
          <w:sz w:val="20"/>
        </w:rPr>
        <w:t>business</w:t>
      </w:r>
      <w:r w:rsidR="00E53EB4">
        <w:rPr>
          <w:sz w:val="20"/>
        </w:rPr>
        <w:t>es</w:t>
      </w:r>
      <w:r w:rsidR="007F7659" w:rsidRPr="00DF071E">
        <w:rPr>
          <w:sz w:val="20"/>
        </w:rPr>
        <w:t>, which are subject to separate regulations).</w:t>
      </w:r>
    </w:p>
    <w:p w14:paraId="2890274A" w14:textId="638A67B1" w:rsidR="000A3A18" w:rsidRPr="00DF071E" w:rsidRDefault="002919BE" w:rsidP="000A3A18">
      <w:pPr>
        <w:rPr>
          <w:sz w:val="20"/>
        </w:rPr>
      </w:pPr>
      <w:r w:rsidRPr="005E4854">
        <w:rPr>
          <w:sz w:val="20"/>
        </w:rPr>
        <w:t xml:space="preserve">The calculation scope </w:t>
      </w:r>
      <w:r w:rsidR="000A3A18" w:rsidRPr="005E4854">
        <w:rPr>
          <w:sz w:val="20"/>
        </w:rPr>
        <w:t xml:space="preserve">excludes countries where regulations forbid the </w:t>
      </w:r>
      <w:r w:rsidRPr="005E4854">
        <w:rPr>
          <w:sz w:val="20"/>
        </w:rPr>
        <w:t>use of front-of-pack nutritional information</w:t>
      </w:r>
      <w:r w:rsidR="000A3A18" w:rsidRPr="005E4854">
        <w:rPr>
          <w:sz w:val="20"/>
        </w:rPr>
        <w:t>.</w:t>
      </w:r>
    </w:p>
    <w:p w14:paraId="1C3B5192" w14:textId="3E38847B" w:rsidR="00FB5051" w:rsidRPr="00DF071E" w:rsidRDefault="00FB5051" w:rsidP="000A3A18">
      <w:pPr>
        <w:rPr>
          <w:sz w:val="20"/>
        </w:rPr>
      </w:pPr>
      <w:r w:rsidRPr="00DF071E">
        <w:rPr>
          <w:sz w:val="20"/>
        </w:rPr>
        <w:t xml:space="preserve">All subsidiaries must follow the Danone Corporate guidelines explaining </w:t>
      </w:r>
      <w:r w:rsidRPr="00F5715B">
        <w:rPr>
          <w:sz w:val="20"/>
        </w:rPr>
        <w:t xml:space="preserve">which front of pack </w:t>
      </w:r>
      <w:r w:rsidR="002919BE" w:rsidRPr="00F5715B">
        <w:rPr>
          <w:sz w:val="20"/>
        </w:rPr>
        <w:t xml:space="preserve">icons and </w:t>
      </w:r>
      <w:r w:rsidRPr="00F5715B">
        <w:rPr>
          <w:sz w:val="20"/>
        </w:rPr>
        <w:t>logo</w:t>
      </w:r>
      <w:r w:rsidR="002919BE" w:rsidRPr="00F5715B">
        <w:rPr>
          <w:sz w:val="20"/>
        </w:rPr>
        <w:t>s</w:t>
      </w:r>
      <w:r w:rsidRPr="00F5715B">
        <w:rPr>
          <w:sz w:val="20"/>
        </w:rPr>
        <w:t xml:space="preserve"> </w:t>
      </w:r>
      <w:r w:rsidR="002919BE" w:rsidRPr="00F5715B">
        <w:rPr>
          <w:sz w:val="20"/>
        </w:rPr>
        <w:t xml:space="preserve">can be </w:t>
      </w:r>
      <w:r w:rsidR="00F5715B" w:rsidRPr="00F5715B">
        <w:rPr>
          <w:sz w:val="20"/>
        </w:rPr>
        <w:t>used and</w:t>
      </w:r>
      <w:r w:rsidR="002919BE" w:rsidRPr="00F5715B">
        <w:rPr>
          <w:sz w:val="20"/>
        </w:rPr>
        <w:t xml:space="preserve"> giving rules for their implementation</w:t>
      </w:r>
      <w:r w:rsidR="00612765" w:rsidRPr="00F5715B">
        <w:rPr>
          <w:sz w:val="20"/>
        </w:rPr>
        <w:t>.</w:t>
      </w:r>
    </w:p>
    <w:bookmarkEnd w:id="3"/>
    <w:p w14:paraId="0F9D5B4C" w14:textId="2AD9B574" w:rsidR="00612765" w:rsidRPr="00DF071E" w:rsidRDefault="00612765" w:rsidP="0023799A">
      <w:pPr>
        <w:jc w:val="left"/>
        <w:rPr>
          <w:sz w:val="20"/>
        </w:rPr>
      </w:pPr>
      <w:r w:rsidRPr="00DF071E">
        <w:rPr>
          <w:sz w:val="20"/>
          <w:lang w:val="en-US"/>
        </w:rPr>
        <w:t xml:space="preserve">All volumes distributed in the away from home channel (canteens, restaurants, …) are assessed as they are when they leave the Danone plant, knowing that the final presentation to the consumer is not under the control of Danone, and </w:t>
      </w:r>
      <w:r w:rsidR="002919BE" w:rsidRPr="005E4854">
        <w:rPr>
          <w:sz w:val="20"/>
          <w:lang w:val="en-US"/>
        </w:rPr>
        <w:t xml:space="preserve">that, </w:t>
      </w:r>
      <w:r w:rsidRPr="005E4854">
        <w:rPr>
          <w:sz w:val="20"/>
          <w:lang w:val="en-US"/>
        </w:rPr>
        <w:t>in</w:t>
      </w:r>
      <w:r w:rsidRPr="00DF071E">
        <w:rPr>
          <w:sz w:val="20"/>
          <w:lang w:val="en-US"/>
        </w:rPr>
        <w:t xml:space="preserve"> that final presentation</w:t>
      </w:r>
      <w:r w:rsidR="002919BE" w:rsidRPr="005E4854">
        <w:rPr>
          <w:sz w:val="20"/>
          <w:lang w:val="en-US"/>
        </w:rPr>
        <w:t>,</w:t>
      </w:r>
      <w:r w:rsidRPr="00DF071E">
        <w:rPr>
          <w:sz w:val="20"/>
          <w:lang w:val="en-US"/>
        </w:rPr>
        <w:t xml:space="preserve"> the nutritional labeling may disappear: products can be presented by the restaurant in single pots without the initial cardboard wrapping, or (for bulk products) transferred to another container. </w:t>
      </w:r>
      <w:r w:rsidR="0023799A" w:rsidRPr="00DF071E">
        <w:rPr>
          <w:sz w:val="20"/>
          <w:lang w:val="en-US"/>
        </w:rPr>
        <w:br/>
      </w:r>
      <w:r w:rsidR="0023799A" w:rsidRPr="00E53EB4">
        <w:rPr>
          <w:sz w:val="20"/>
          <w:lang w:val="en-US"/>
        </w:rPr>
        <w:t>L</w:t>
      </w:r>
      <w:proofErr w:type="spellStart"/>
      <w:r w:rsidR="0023799A" w:rsidRPr="00E53EB4">
        <w:rPr>
          <w:sz w:val="20"/>
        </w:rPr>
        <w:t>ast</w:t>
      </w:r>
      <w:proofErr w:type="spellEnd"/>
      <w:r w:rsidR="0023799A" w:rsidRPr="00E53EB4">
        <w:rPr>
          <w:sz w:val="20"/>
        </w:rPr>
        <w:t xml:space="preserve"> year, this indicator was assessed on volume excluding the </w:t>
      </w:r>
      <w:r w:rsidR="00E53EB4">
        <w:rPr>
          <w:sz w:val="20"/>
        </w:rPr>
        <w:t>a</w:t>
      </w:r>
      <w:r w:rsidR="0023799A" w:rsidRPr="00E53EB4">
        <w:rPr>
          <w:sz w:val="20"/>
        </w:rPr>
        <w:t xml:space="preserve">way </w:t>
      </w:r>
      <w:r w:rsidR="00E53EB4">
        <w:rPr>
          <w:sz w:val="20"/>
        </w:rPr>
        <w:t>f</w:t>
      </w:r>
      <w:r w:rsidR="0023799A" w:rsidRPr="00E53EB4">
        <w:rPr>
          <w:sz w:val="20"/>
        </w:rPr>
        <w:t xml:space="preserve">rom </w:t>
      </w:r>
      <w:r w:rsidR="00E53EB4">
        <w:rPr>
          <w:sz w:val="20"/>
        </w:rPr>
        <w:t>h</w:t>
      </w:r>
      <w:r w:rsidR="0023799A" w:rsidRPr="00E53EB4">
        <w:rPr>
          <w:sz w:val="20"/>
        </w:rPr>
        <w:t xml:space="preserve">ome volumes. The calculation has changed in 2018, </w:t>
      </w:r>
      <w:proofErr w:type="gramStart"/>
      <w:r w:rsidR="0023799A" w:rsidRPr="00E53EB4">
        <w:rPr>
          <w:sz w:val="20"/>
        </w:rPr>
        <w:t>taking into account</w:t>
      </w:r>
      <w:proofErr w:type="gramEnd"/>
      <w:r w:rsidR="0023799A" w:rsidRPr="00E53EB4">
        <w:rPr>
          <w:sz w:val="20"/>
        </w:rPr>
        <w:t xml:space="preserve"> total volumes.</w:t>
      </w:r>
    </w:p>
    <w:p w14:paraId="2CCE56F5" w14:textId="77777777" w:rsidR="00B179BF" w:rsidRPr="00D14A24" w:rsidRDefault="00B179BF" w:rsidP="00B179BF">
      <w:pPr>
        <w:pStyle w:val="NormalDanone"/>
        <w:rPr>
          <w:sz w:val="24"/>
          <w:lang w:val="en-US"/>
        </w:rPr>
      </w:pPr>
    </w:p>
    <w:bookmarkEnd w:id="2"/>
    <w:p w14:paraId="02EAB6F2" w14:textId="0D951C4F" w:rsidR="00B179BF" w:rsidRPr="00DF071E" w:rsidRDefault="00146EC2" w:rsidP="00B179BF">
      <w:pPr>
        <w:pStyle w:val="Titre5Danone"/>
        <w:rPr>
          <w:b w:val="0"/>
          <w:sz w:val="24"/>
          <w:lang w:val="en-US"/>
        </w:rPr>
      </w:pPr>
      <w:r w:rsidRPr="00DF071E">
        <w:rPr>
          <w:b w:val="0"/>
          <w:noProof/>
          <w:sz w:val="22"/>
          <w:lang w:val="en-US"/>
        </w:rPr>
        <w:drawing>
          <wp:inline distT="0" distB="0" distL="0" distR="0" wp14:anchorId="09579D06" wp14:editId="78AB9FC4">
            <wp:extent cx="360000" cy="360000"/>
            <wp:effectExtent l="0" t="0" r="2540" b="2540"/>
            <wp:docPr id="2" name="Graphique 2" descr="Salle de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room.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60000" cy="360000"/>
                    </a:xfrm>
                    <a:prstGeom prst="rect">
                      <a:avLst/>
                    </a:prstGeom>
                  </pic:spPr>
                </pic:pic>
              </a:graphicData>
            </a:graphic>
          </wp:inline>
        </w:drawing>
      </w:r>
      <w:r w:rsidR="00821E97" w:rsidRPr="00DF071E">
        <w:rPr>
          <w:b w:val="0"/>
          <w:sz w:val="22"/>
          <w:lang w:val="en-US"/>
        </w:rPr>
        <w:t xml:space="preserve"> </w:t>
      </w:r>
      <w:r w:rsidR="00B179BF" w:rsidRPr="0080703A">
        <w:rPr>
          <w:b w:val="0"/>
          <w:sz w:val="24"/>
          <w:lang w:val="en-US"/>
        </w:rPr>
        <w:t>Number of employees trained on</w:t>
      </w:r>
      <w:r w:rsidR="00B179BF" w:rsidRPr="00DF071E">
        <w:rPr>
          <w:b w:val="0"/>
          <w:sz w:val="24"/>
          <w:lang w:val="en-US"/>
        </w:rPr>
        <w:t xml:space="preserve"> </w:t>
      </w:r>
      <w:r w:rsidR="00B179BF" w:rsidRPr="0080703A">
        <w:rPr>
          <w:b w:val="0"/>
          <w:sz w:val="24"/>
          <w:lang w:val="en-US"/>
        </w:rPr>
        <w:t>nutrition, health and/or hydration</w:t>
      </w:r>
    </w:p>
    <w:p w14:paraId="41803576" w14:textId="77777777" w:rsidR="008D25C8" w:rsidRDefault="00B179BF" w:rsidP="00B179BF">
      <w:pPr>
        <w:pStyle w:val="NormalDanone"/>
        <w:rPr>
          <w:sz w:val="20"/>
          <w:lang w:val="en-US"/>
        </w:rPr>
      </w:pPr>
      <w:r w:rsidRPr="00DF071E">
        <w:rPr>
          <w:sz w:val="20"/>
          <w:lang w:val="en-US"/>
        </w:rPr>
        <w:t xml:space="preserve">This indicator tracks the number of unique employees who received at least one training course related to nutrition, health and/or hydration over a two-year period. </w:t>
      </w:r>
    </w:p>
    <w:p w14:paraId="4197A2AF" w14:textId="2BC1B66D" w:rsidR="00B179BF" w:rsidRPr="00DF071E" w:rsidRDefault="00B179BF" w:rsidP="00B179BF">
      <w:pPr>
        <w:pStyle w:val="NormalDanone"/>
        <w:rPr>
          <w:sz w:val="20"/>
          <w:lang w:val="en-US"/>
        </w:rPr>
      </w:pPr>
      <w:r w:rsidRPr="00DF071E">
        <w:rPr>
          <w:sz w:val="20"/>
          <w:lang w:val="en-US"/>
        </w:rPr>
        <w:t xml:space="preserve">The training received must have lasted at least one hour. </w:t>
      </w:r>
    </w:p>
    <w:p w14:paraId="01790F66" w14:textId="6051EA55" w:rsidR="00B179BF" w:rsidRPr="00DF071E" w:rsidRDefault="00B179BF" w:rsidP="00B179BF">
      <w:pPr>
        <w:pStyle w:val="NormalDanone"/>
        <w:rPr>
          <w:sz w:val="20"/>
          <w:lang w:val="en-US"/>
        </w:rPr>
      </w:pPr>
      <w:r w:rsidRPr="00DF071E">
        <w:rPr>
          <w:sz w:val="20"/>
          <w:lang w:val="en-US"/>
        </w:rPr>
        <w:t>Each subsidiary must provide evidence of the number of people trained. For lack of proof, the number reported is 0.</w:t>
      </w:r>
    </w:p>
    <w:p w14:paraId="1C50795A" w14:textId="77777777" w:rsidR="00B179BF" w:rsidRPr="008D25C8" w:rsidRDefault="00B179BF" w:rsidP="00B179BF">
      <w:pPr>
        <w:rPr>
          <w:sz w:val="24"/>
        </w:rPr>
      </w:pPr>
    </w:p>
    <w:p w14:paraId="564C2C22" w14:textId="1FD19587" w:rsidR="00B179BF" w:rsidRPr="00DF071E" w:rsidRDefault="00B179BF" w:rsidP="00B179BF">
      <w:pPr>
        <w:pStyle w:val="Titre5Danone"/>
        <w:rPr>
          <w:b w:val="0"/>
          <w:sz w:val="24"/>
          <w:lang w:val="en-US"/>
        </w:rPr>
      </w:pPr>
      <w:r w:rsidRPr="0080703A">
        <w:rPr>
          <w:b w:val="0"/>
          <w:sz w:val="24"/>
          <w:lang w:val="en-US"/>
        </w:rPr>
        <w:t>Number of employees trained to</w:t>
      </w:r>
      <w:r w:rsidRPr="00DF071E">
        <w:rPr>
          <w:b w:val="0"/>
          <w:sz w:val="24"/>
          <w:lang w:val="en-US"/>
        </w:rPr>
        <w:t xml:space="preserve"> </w:t>
      </w:r>
      <w:r w:rsidRPr="0080703A">
        <w:rPr>
          <w:b w:val="0"/>
          <w:sz w:val="24"/>
          <w:lang w:val="en-US"/>
        </w:rPr>
        <w:t>WHO code and Danone Policy of marketing for breastmilk</w:t>
      </w:r>
      <w:r w:rsidRPr="00DF071E">
        <w:rPr>
          <w:b w:val="0"/>
          <w:sz w:val="24"/>
          <w:lang w:val="en-US"/>
        </w:rPr>
        <w:t xml:space="preserve"> </w:t>
      </w:r>
      <w:r w:rsidRPr="0080703A">
        <w:rPr>
          <w:b w:val="0"/>
          <w:sz w:val="24"/>
          <w:lang w:val="en-US"/>
        </w:rPr>
        <w:t>substitutes</w:t>
      </w:r>
    </w:p>
    <w:p w14:paraId="718093A5" w14:textId="74D1B6F5" w:rsidR="00B179BF" w:rsidRPr="00DF071E" w:rsidRDefault="00B179BF" w:rsidP="00B179BF">
      <w:pPr>
        <w:pStyle w:val="NormalDanone"/>
        <w:rPr>
          <w:sz w:val="20"/>
        </w:rPr>
      </w:pPr>
      <w:r w:rsidRPr="00DF071E">
        <w:rPr>
          <w:sz w:val="20"/>
        </w:rPr>
        <w:t xml:space="preserve">This indicator tracks the number of unique employees, who are working in the Early Life Nutrition (part from Specialized Nutrition business) and who received the training related to the Danone Policy of marketing for breastmilk substitutes </w:t>
      </w:r>
      <w:r w:rsidR="008D25C8" w:rsidRPr="00DF071E">
        <w:rPr>
          <w:sz w:val="20"/>
          <w:lang w:val="en-US"/>
        </w:rPr>
        <w:t>over a two-year period</w:t>
      </w:r>
      <w:r w:rsidRPr="00DF071E">
        <w:rPr>
          <w:sz w:val="20"/>
        </w:rPr>
        <w:t xml:space="preserve">. </w:t>
      </w:r>
    </w:p>
    <w:p w14:paraId="7BFB8BD4" w14:textId="3B6FCDE8" w:rsidR="002D6E5C" w:rsidRDefault="00B179BF" w:rsidP="00EB71CA">
      <w:pPr>
        <w:pStyle w:val="NormalDanone"/>
        <w:rPr>
          <w:sz w:val="20"/>
          <w:lang w:val="en-US"/>
        </w:rPr>
      </w:pPr>
      <w:r w:rsidRPr="00DF071E">
        <w:rPr>
          <w:sz w:val="20"/>
          <w:lang w:val="en-US"/>
        </w:rPr>
        <w:t xml:space="preserve">Each </w:t>
      </w:r>
      <w:r w:rsidRPr="00DF071E">
        <w:rPr>
          <w:sz w:val="20"/>
          <w:szCs w:val="14"/>
          <w:lang w:val="en-US"/>
        </w:rPr>
        <w:t xml:space="preserve">subsidiary </w:t>
      </w:r>
      <w:r w:rsidRPr="00DF071E">
        <w:rPr>
          <w:sz w:val="20"/>
          <w:lang w:val="en-US"/>
        </w:rPr>
        <w:t>must provide evidence of the number of people trained. For lack of proof, the number reported is 0.</w:t>
      </w:r>
    </w:p>
    <w:p w14:paraId="4B3B1C37" w14:textId="77777777" w:rsidR="00E03C3B" w:rsidRPr="00DF071E" w:rsidRDefault="00E03C3B" w:rsidP="00EB71CA">
      <w:pPr>
        <w:pStyle w:val="NormalDanone"/>
        <w:rPr>
          <w:sz w:val="20"/>
          <w:lang w:val="en-US"/>
        </w:rPr>
      </w:pPr>
    </w:p>
    <w:p w14:paraId="4F94D1C9" w14:textId="2195EEAE" w:rsidR="00103D36" w:rsidRPr="00DF071E" w:rsidRDefault="003F0547" w:rsidP="00103D36">
      <w:pPr>
        <w:pStyle w:val="Titre5Danone"/>
        <w:rPr>
          <w:sz w:val="24"/>
          <w:lang w:val="en-US"/>
        </w:rPr>
      </w:pPr>
      <w:r>
        <w:rPr>
          <w:b w:val="0"/>
          <w:noProof/>
          <w:lang w:val="en-US"/>
        </w:rPr>
        <w:lastRenderedPageBreak/>
        <w:drawing>
          <wp:inline distT="0" distB="0" distL="0" distR="0" wp14:anchorId="0FF245E8" wp14:editId="5C708DB3">
            <wp:extent cx="360000" cy="360000"/>
            <wp:effectExtent l="0" t="0" r="2540" b="2540"/>
            <wp:docPr id="16" name="Graphique 16"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formation.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60000" cy="360000"/>
                    </a:xfrm>
                    <a:prstGeom prst="rect">
                      <a:avLst/>
                    </a:prstGeom>
                  </pic:spPr>
                </pic:pic>
              </a:graphicData>
            </a:graphic>
          </wp:inline>
        </w:drawing>
      </w:r>
      <w:r w:rsidR="00103D36" w:rsidRPr="0080703A">
        <w:rPr>
          <w:b w:val="0"/>
          <w:sz w:val="24"/>
          <w:lang w:val="en-US"/>
        </w:rPr>
        <w:t>Number of active education and information programs during the year</w:t>
      </w:r>
      <w:r w:rsidR="00103D36" w:rsidRPr="00DF071E">
        <w:rPr>
          <w:sz w:val="24"/>
          <w:lang w:val="en-US"/>
        </w:rPr>
        <w:t xml:space="preserve"> </w:t>
      </w:r>
    </w:p>
    <w:p w14:paraId="195CCE3D" w14:textId="77777777" w:rsidR="0064179B" w:rsidRDefault="00103D36" w:rsidP="00103D36">
      <w:pPr>
        <w:pStyle w:val="NormalDanone"/>
        <w:rPr>
          <w:sz w:val="20"/>
          <w:lang w:val="en-US"/>
        </w:rPr>
      </w:pPr>
      <w:r w:rsidRPr="00DF071E">
        <w:rPr>
          <w:sz w:val="20"/>
          <w:lang w:val="en-US"/>
        </w:rPr>
        <w:t xml:space="preserve">An education / information program must: </w:t>
      </w:r>
    </w:p>
    <w:p w14:paraId="4F9BDBC4" w14:textId="77777777" w:rsidR="0064179B" w:rsidRDefault="00EB71CA" w:rsidP="00103D36">
      <w:pPr>
        <w:pStyle w:val="NormalDanone"/>
        <w:rPr>
          <w:sz w:val="20"/>
          <w:lang w:val="en-US"/>
        </w:rPr>
      </w:pPr>
      <w:r w:rsidRPr="00DF071E">
        <w:rPr>
          <w:sz w:val="20"/>
          <w:lang w:val="en-US"/>
        </w:rPr>
        <w:t xml:space="preserve">1) </w:t>
      </w:r>
      <w:r w:rsidR="00103D36" w:rsidRPr="00DF071E">
        <w:rPr>
          <w:sz w:val="20"/>
          <w:lang w:val="en-US"/>
        </w:rPr>
        <w:t xml:space="preserve">address a local Public Health issue; </w:t>
      </w:r>
    </w:p>
    <w:p w14:paraId="361F91B4" w14:textId="77777777" w:rsidR="0064179B" w:rsidRDefault="00EB71CA" w:rsidP="00103D36">
      <w:pPr>
        <w:pStyle w:val="NormalDanone"/>
        <w:rPr>
          <w:sz w:val="20"/>
          <w:lang w:val="en-US"/>
        </w:rPr>
      </w:pPr>
      <w:r w:rsidRPr="00DF071E">
        <w:rPr>
          <w:sz w:val="20"/>
          <w:lang w:val="en-US"/>
        </w:rPr>
        <w:t xml:space="preserve">2) </w:t>
      </w:r>
      <w:r w:rsidR="00103D36" w:rsidRPr="00DF071E">
        <w:rPr>
          <w:sz w:val="20"/>
          <w:lang w:val="en-US"/>
        </w:rPr>
        <w:t xml:space="preserve">deﬁne a clear objective linked to a public health cause or its determinants; </w:t>
      </w:r>
    </w:p>
    <w:p w14:paraId="5A2E91B6" w14:textId="77777777" w:rsidR="0064179B" w:rsidRDefault="00EB71CA" w:rsidP="00103D36">
      <w:pPr>
        <w:pStyle w:val="NormalDanone"/>
        <w:rPr>
          <w:sz w:val="20"/>
          <w:lang w:val="en-US"/>
        </w:rPr>
      </w:pPr>
      <w:r w:rsidRPr="00DF071E">
        <w:rPr>
          <w:sz w:val="20"/>
          <w:lang w:val="en-US"/>
        </w:rPr>
        <w:t xml:space="preserve">3) </w:t>
      </w:r>
      <w:r w:rsidR="00103D36" w:rsidRPr="00DF071E">
        <w:rPr>
          <w:sz w:val="20"/>
          <w:lang w:val="en-US"/>
        </w:rPr>
        <w:t xml:space="preserve">be co-constructed with academia and/or the government; </w:t>
      </w:r>
    </w:p>
    <w:p w14:paraId="501D7515" w14:textId="77777777" w:rsidR="0064179B" w:rsidRDefault="00EB71CA" w:rsidP="00103D36">
      <w:pPr>
        <w:pStyle w:val="NormalDanone"/>
        <w:rPr>
          <w:sz w:val="20"/>
          <w:lang w:val="en-US"/>
        </w:rPr>
      </w:pPr>
      <w:r w:rsidRPr="00DF071E">
        <w:rPr>
          <w:sz w:val="20"/>
          <w:lang w:val="en-US"/>
        </w:rPr>
        <w:t xml:space="preserve">4) </w:t>
      </w:r>
      <w:r w:rsidR="00103D36" w:rsidRPr="00DF071E">
        <w:rPr>
          <w:sz w:val="20"/>
          <w:lang w:val="en-US"/>
        </w:rPr>
        <w:t xml:space="preserve">target an identiﬁed population group and </w:t>
      </w:r>
    </w:p>
    <w:p w14:paraId="7ADED294" w14:textId="1EC205EB" w:rsidR="00103D36" w:rsidRPr="00DF071E" w:rsidRDefault="00EB71CA" w:rsidP="00EF7372">
      <w:pPr>
        <w:pStyle w:val="NormalDanone"/>
        <w:ind w:left="284" w:hanging="284"/>
        <w:rPr>
          <w:sz w:val="20"/>
          <w:lang w:val="en-US"/>
        </w:rPr>
      </w:pPr>
      <w:r w:rsidRPr="00DF071E">
        <w:rPr>
          <w:sz w:val="20"/>
          <w:lang w:val="en-US"/>
        </w:rPr>
        <w:t xml:space="preserve">5) </w:t>
      </w:r>
      <w:r w:rsidR="00EF7372">
        <w:rPr>
          <w:sz w:val="20"/>
          <w:lang w:val="en-US"/>
        </w:rPr>
        <w:t>define m</w:t>
      </w:r>
      <w:r w:rsidR="00EF7372" w:rsidRPr="00EF7372">
        <w:rPr>
          <w:sz w:val="20"/>
          <w:lang w:val="en-US"/>
        </w:rPr>
        <w:t>easurable impact indicators (the initial state of which has been documented - “baseline”- and the impact is measured</w:t>
      </w:r>
      <w:r w:rsidR="00EF7372">
        <w:rPr>
          <w:sz w:val="20"/>
          <w:lang w:val="en-US"/>
        </w:rPr>
        <w:t>)</w:t>
      </w:r>
      <w:r w:rsidR="00103D36" w:rsidRPr="00DF071E">
        <w:rPr>
          <w:sz w:val="20"/>
          <w:lang w:val="en-US"/>
        </w:rPr>
        <w:t>.</w:t>
      </w:r>
    </w:p>
    <w:p w14:paraId="3786CB0C" w14:textId="78B863CB" w:rsidR="00103D36" w:rsidRDefault="00EB71CA" w:rsidP="00103D36">
      <w:pPr>
        <w:pStyle w:val="NormalDanone"/>
        <w:rPr>
          <w:sz w:val="20"/>
          <w:lang w:val="en-US"/>
        </w:rPr>
      </w:pPr>
      <w:r w:rsidRPr="00DF071E">
        <w:rPr>
          <w:sz w:val="20"/>
          <w:lang w:val="en-US"/>
        </w:rPr>
        <w:t>A program can be counted as program only if the</w:t>
      </w:r>
      <w:r w:rsidR="00A91E81">
        <w:rPr>
          <w:sz w:val="20"/>
          <w:lang w:val="en-US"/>
        </w:rPr>
        <w:t>se</w:t>
      </w:r>
      <w:r w:rsidRPr="00DF071E">
        <w:rPr>
          <w:sz w:val="20"/>
          <w:lang w:val="en-US"/>
        </w:rPr>
        <w:t xml:space="preserve"> criteria are respected.</w:t>
      </w:r>
    </w:p>
    <w:p w14:paraId="54D94D12" w14:textId="44E1640A" w:rsidR="0082479C" w:rsidRPr="00DF071E" w:rsidRDefault="002919BE" w:rsidP="00103D36">
      <w:pPr>
        <w:pStyle w:val="NormalDanone"/>
        <w:rPr>
          <w:sz w:val="20"/>
          <w:lang w:val="en-US"/>
        </w:rPr>
      </w:pPr>
      <w:r>
        <w:rPr>
          <w:sz w:val="20"/>
          <w:lang w:val="en-US"/>
        </w:rPr>
        <w:t>The i</w:t>
      </w:r>
      <w:r w:rsidR="0082479C">
        <w:rPr>
          <w:sz w:val="20"/>
          <w:lang w:val="en-US"/>
        </w:rPr>
        <w:t xml:space="preserve">mpact </w:t>
      </w:r>
      <w:r w:rsidR="0082479C" w:rsidRPr="00934413">
        <w:rPr>
          <w:sz w:val="20"/>
          <w:lang w:val="en-US"/>
        </w:rPr>
        <w:t>measur</w:t>
      </w:r>
      <w:r w:rsidR="00934413" w:rsidRPr="00934413">
        <w:rPr>
          <w:sz w:val="20"/>
          <w:lang w:val="en-US"/>
        </w:rPr>
        <w:t>e</w:t>
      </w:r>
      <w:r w:rsidRPr="00934413">
        <w:rPr>
          <w:sz w:val="20"/>
          <w:lang w:val="en-US"/>
        </w:rPr>
        <w:t xml:space="preserve">ment </w:t>
      </w:r>
      <w:r w:rsidR="0082479C" w:rsidRPr="00934413">
        <w:rPr>
          <w:sz w:val="20"/>
          <w:lang w:val="en-US"/>
        </w:rPr>
        <w:t>do</w:t>
      </w:r>
      <w:r w:rsidRPr="00934413">
        <w:rPr>
          <w:sz w:val="20"/>
          <w:lang w:val="en-US"/>
        </w:rPr>
        <w:t>es</w:t>
      </w:r>
      <w:r w:rsidR="0082479C" w:rsidRPr="00934413">
        <w:rPr>
          <w:sz w:val="20"/>
          <w:lang w:val="en-US"/>
        </w:rPr>
        <w:t xml:space="preserve">n’t need to be conducted every </w:t>
      </w:r>
      <w:r w:rsidRPr="00934413">
        <w:rPr>
          <w:sz w:val="20"/>
          <w:lang w:val="en-US"/>
        </w:rPr>
        <w:t>year</w:t>
      </w:r>
      <w:r w:rsidR="0082479C" w:rsidRPr="00934413">
        <w:rPr>
          <w:sz w:val="20"/>
          <w:lang w:val="en-US"/>
        </w:rPr>
        <w:t>.</w:t>
      </w:r>
    </w:p>
    <w:p w14:paraId="4CC9CEDE" w14:textId="77777777" w:rsidR="00103D36" w:rsidRPr="0080703A" w:rsidRDefault="00103D36" w:rsidP="002D6E5C">
      <w:pPr>
        <w:rPr>
          <w:sz w:val="24"/>
          <w:lang w:val="en-US"/>
        </w:rPr>
      </w:pPr>
    </w:p>
    <w:p w14:paraId="7C3031EF" w14:textId="59CA269C" w:rsidR="002D6E5C" w:rsidRPr="00DF071E" w:rsidRDefault="002D6E5C" w:rsidP="002D6E5C">
      <w:pPr>
        <w:pStyle w:val="Titre5Danone"/>
        <w:rPr>
          <w:sz w:val="24"/>
          <w:lang w:val="en-US"/>
        </w:rPr>
      </w:pPr>
      <w:r w:rsidRPr="0080703A">
        <w:rPr>
          <w:b w:val="0"/>
          <w:sz w:val="24"/>
          <w:lang w:val="en-US"/>
        </w:rPr>
        <w:t xml:space="preserve">Number of people potentially </w:t>
      </w:r>
      <w:r w:rsidR="002919BE" w:rsidRPr="007C1CD5">
        <w:rPr>
          <w:b w:val="0"/>
          <w:sz w:val="24"/>
          <w:lang w:val="en-US"/>
        </w:rPr>
        <w:t>impacted</w:t>
      </w:r>
      <w:r w:rsidR="00103D36" w:rsidRPr="0080703A">
        <w:rPr>
          <w:b w:val="0"/>
          <w:sz w:val="24"/>
          <w:lang w:val="en-US"/>
        </w:rPr>
        <w:t xml:space="preserve"> by these active programs</w:t>
      </w:r>
    </w:p>
    <w:p w14:paraId="5FF889A5" w14:textId="27C65FD2" w:rsidR="002D6E5C" w:rsidRPr="00DF071E" w:rsidRDefault="002D6E5C" w:rsidP="002D6E5C">
      <w:pPr>
        <w:pStyle w:val="NormalDanone"/>
        <w:rPr>
          <w:sz w:val="20"/>
          <w:lang w:val="en-US"/>
        </w:rPr>
      </w:pPr>
      <w:r w:rsidRPr="00DF071E">
        <w:rPr>
          <w:sz w:val="20"/>
          <w:lang w:val="en-US"/>
        </w:rPr>
        <w:t xml:space="preserve">The people considered to be potentially </w:t>
      </w:r>
      <w:r w:rsidR="00934413">
        <w:rPr>
          <w:sz w:val="20"/>
          <w:lang w:val="en-US"/>
        </w:rPr>
        <w:t xml:space="preserve"> </w:t>
      </w:r>
      <w:r w:rsidRPr="00DF071E">
        <w:rPr>
          <w:sz w:val="20"/>
          <w:lang w:val="en-US"/>
        </w:rPr>
        <w:t xml:space="preserve"> are consumers </w:t>
      </w:r>
      <w:r w:rsidR="006747EC">
        <w:rPr>
          <w:sz w:val="20"/>
          <w:lang w:val="en-US"/>
        </w:rPr>
        <w:t>(</w:t>
      </w:r>
      <w:r w:rsidRPr="00DF071E">
        <w:rPr>
          <w:sz w:val="20"/>
          <w:lang w:val="en-US"/>
        </w:rPr>
        <w:t xml:space="preserve">for the </w:t>
      </w:r>
      <w:r w:rsidR="005B38CE" w:rsidRPr="00DF071E">
        <w:rPr>
          <w:sz w:val="20"/>
          <w:lang w:val="en-US"/>
        </w:rPr>
        <w:t xml:space="preserve">Essential </w:t>
      </w:r>
      <w:r w:rsidRPr="00DF071E">
        <w:rPr>
          <w:sz w:val="20"/>
          <w:lang w:val="en-US"/>
        </w:rPr>
        <w:t xml:space="preserve">Dairy Products and Waters </w:t>
      </w:r>
      <w:r w:rsidR="00B179BF" w:rsidRPr="00DF071E">
        <w:rPr>
          <w:sz w:val="20"/>
        </w:rPr>
        <w:t>businesses</w:t>
      </w:r>
      <w:r w:rsidR="006747EC">
        <w:rPr>
          <w:sz w:val="20"/>
        </w:rPr>
        <w:t>)</w:t>
      </w:r>
      <w:r w:rsidRPr="00DF071E">
        <w:rPr>
          <w:sz w:val="20"/>
          <w:lang w:val="en-US"/>
        </w:rPr>
        <w:t xml:space="preserve">, parents, patients and caregivers </w:t>
      </w:r>
      <w:r w:rsidR="006747EC">
        <w:rPr>
          <w:sz w:val="20"/>
          <w:lang w:val="en-US"/>
        </w:rPr>
        <w:t>(</w:t>
      </w:r>
      <w:r w:rsidRPr="00DF071E">
        <w:rPr>
          <w:sz w:val="20"/>
          <w:lang w:val="en-US"/>
        </w:rPr>
        <w:t xml:space="preserve">for the Specialized Nutrition </w:t>
      </w:r>
      <w:r w:rsidR="00B179BF" w:rsidRPr="00DF071E">
        <w:rPr>
          <w:sz w:val="20"/>
        </w:rPr>
        <w:t>business</w:t>
      </w:r>
      <w:r w:rsidR="006747EC">
        <w:rPr>
          <w:sz w:val="20"/>
        </w:rPr>
        <w:t>)</w:t>
      </w:r>
      <w:r w:rsidRPr="00DF071E">
        <w:rPr>
          <w:sz w:val="20"/>
          <w:lang w:val="en-US"/>
        </w:rPr>
        <w:t xml:space="preserve">. </w:t>
      </w:r>
    </w:p>
    <w:p w14:paraId="5CC56777" w14:textId="55A09CC5" w:rsidR="002D6E5C" w:rsidRPr="00DF071E" w:rsidRDefault="002D6E5C" w:rsidP="002D6E5C">
      <w:pPr>
        <w:rPr>
          <w:sz w:val="20"/>
          <w:lang w:val="en-US"/>
        </w:rPr>
      </w:pPr>
      <w:r w:rsidRPr="00DF071E">
        <w:rPr>
          <w:sz w:val="20"/>
          <w:lang w:val="en-US"/>
        </w:rPr>
        <w:t xml:space="preserve">Subsidiaries count the people reached by the program (for example the number of unique visitors to a website, the number of participants in conferences or training sessions, etc.). We consider that these people are potentially impacted to the extent that they have received the messages conveyed by the program and </w:t>
      </w:r>
      <w:r w:rsidR="006747EC" w:rsidRPr="00934413">
        <w:rPr>
          <w:sz w:val="20"/>
          <w:lang w:val="en-US"/>
        </w:rPr>
        <w:t>their</w:t>
      </w:r>
      <w:r w:rsidRPr="00DF071E">
        <w:rPr>
          <w:sz w:val="20"/>
          <w:lang w:val="en-US"/>
        </w:rPr>
        <w:t xml:space="preserve"> awareness increased. It is not </w:t>
      </w:r>
      <w:r w:rsidRPr="00934413">
        <w:rPr>
          <w:sz w:val="20"/>
          <w:lang w:val="en-US"/>
        </w:rPr>
        <w:t xml:space="preserve">yet </w:t>
      </w:r>
      <w:r w:rsidR="006747EC" w:rsidRPr="00934413">
        <w:rPr>
          <w:sz w:val="20"/>
          <w:lang w:val="en-US"/>
        </w:rPr>
        <w:t>mandatory for</w:t>
      </w:r>
      <w:r w:rsidR="006747EC">
        <w:rPr>
          <w:sz w:val="20"/>
          <w:lang w:val="en-US"/>
        </w:rPr>
        <w:t xml:space="preserve"> </w:t>
      </w:r>
      <w:r w:rsidR="00934413">
        <w:rPr>
          <w:sz w:val="20"/>
          <w:lang w:val="en-US"/>
        </w:rPr>
        <w:t xml:space="preserve">subsidiaries </w:t>
      </w:r>
      <w:r w:rsidRPr="00DF071E">
        <w:rPr>
          <w:sz w:val="20"/>
          <w:lang w:val="en-US"/>
        </w:rPr>
        <w:t xml:space="preserve">to prove that these people have really been impacted, meaning that they have </w:t>
      </w:r>
      <w:r w:rsidR="00110F6A" w:rsidRPr="00DF071E">
        <w:rPr>
          <w:sz w:val="20"/>
          <w:lang w:val="en-US"/>
        </w:rPr>
        <w:t>changed</w:t>
      </w:r>
      <w:r w:rsidRPr="00DF071E">
        <w:rPr>
          <w:sz w:val="20"/>
          <w:lang w:val="en-US"/>
        </w:rPr>
        <w:t xml:space="preserve"> their eating and drinking habits.</w:t>
      </w:r>
    </w:p>
    <w:p w14:paraId="1C1F28FC" w14:textId="45B0CEB6" w:rsidR="002D6E5C" w:rsidRPr="00110F6A" w:rsidRDefault="002D6E5C" w:rsidP="002D6E5C">
      <w:pPr>
        <w:pStyle w:val="NormalDanone"/>
        <w:rPr>
          <w:sz w:val="20"/>
          <w:lang w:val="en-US"/>
        </w:rPr>
      </w:pPr>
      <w:r w:rsidRPr="00110F6A">
        <w:rPr>
          <w:sz w:val="20"/>
          <w:lang w:val="en-US"/>
        </w:rPr>
        <w:t xml:space="preserve">People who are </w:t>
      </w:r>
      <w:r w:rsidR="006747EC" w:rsidRPr="00934413">
        <w:rPr>
          <w:sz w:val="20"/>
          <w:lang w:val="en-US"/>
        </w:rPr>
        <w:t>impacted</w:t>
      </w:r>
      <w:r w:rsidRPr="00110F6A">
        <w:rPr>
          <w:sz w:val="20"/>
          <w:lang w:val="en-US"/>
        </w:rPr>
        <w:t xml:space="preserve"> by several programs may be counted several times.</w:t>
      </w:r>
    </w:p>
    <w:p w14:paraId="6099B09B" w14:textId="34237F6A" w:rsidR="002D6E5C" w:rsidRPr="00DF071E" w:rsidRDefault="00AD578B" w:rsidP="00AD578B">
      <w:pPr>
        <w:pStyle w:val="NormalDanone"/>
        <w:jc w:val="left"/>
        <w:rPr>
          <w:sz w:val="20"/>
          <w:lang w:val="en-US"/>
        </w:rPr>
      </w:pPr>
      <w:r w:rsidRPr="00110F6A">
        <w:rPr>
          <w:sz w:val="20"/>
          <w:lang w:val="en-US"/>
        </w:rPr>
        <w:t xml:space="preserve">If the subsidiary can justify that people are not counted twice, people reached can be counted since the beginning of a program (i.e. </w:t>
      </w:r>
      <w:r w:rsidR="000D4434" w:rsidRPr="00110F6A">
        <w:rPr>
          <w:sz w:val="20"/>
          <w:lang w:val="en-US"/>
        </w:rPr>
        <w:t xml:space="preserve">if </w:t>
      </w:r>
      <w:r w:rsidRPr="00110F6A">
        <w:rPr>
          <w:sz w:val="20"/>
          <w:lang w:val="en-US"/>
        </w:rPr>
        <w:t xml:space="preserve">a program </w:t>
      </w:r>
      <w:r w:rsidR="000D4434" w:rsidRPr="00110F6A">
        <w:rPr>
          <w:sz w:val="20"/>
          <w:lang w:val="en-US"/>
        </w:rPr>
        <w:t>implements a training to</w:t>
      </w:r>
      <w:r w:rsidRPr="00110F6A">
        <w:rPr>
          <w:sz w:val="20"/>
          <w:lang w:val="en-US"/>
        </w:rPr>
        <w:t xml:space="preserve"> children from the same class level, we can estimate that each year new children</w:t>
      </w:r>
      <w:r w:rsidR="000D4434" w:rsidRPr="00110F6A">
        <w:rPr>
          <w:sz w:val="20"/>
          <w:lang w:val="en-US"/>
        </w:rPr>
        <w:t xml:space="preserve"> will be reached)</w:t>
      </w:r>
      <w:r w:rsidRPr="00110F6A">
        <w:rPr>
          <w:sz w:val="20"/>
          <w:lang w:val="en-US"/>
        </w:rPr>
        <w:t>.</w:t>
      </w:r>
    </w:p>
    <w:p w14:paraId="2454D090" w14:textId="5B3734FE" w:rsidR="00AD578B" w:rsidRDefault="00AD578B" w:rsidP="00AD578B">
      <w:pPr>
        <w:pStyle w:val="NormalDanone"/>
        <w:jc w:val="left"/>
        <w:rPr>
          <w:sz w:val="24"/>
          <w:lang w:val="en-US"/>
        </w:rPr>
      </w:pPr>
    </w:p>
    <w:p w14:paraId="6FF8DD18" w14:textId="77777777" w:rsidR="00E03C3B" w:rsidRPr="00110F6A" w:rsidRDefault="00E03C3B" w:rsidP="00AD578B">
      <w:pPr>
        <w:pStyle w:val="NormalDanone"/>
        <w:jc w:val="left"/>
        <w:rPr>
          <w:sz w:val="24"/>
          <w:lang w:val="en-US"/>
        </w:rPr>
      </w:pPr>
    </w:p>
    <w:p w14:paraId="031914C9" w14:textId="59B6C111" w:rsidR="002D6E5C" w:rsidRPr="00DF071E" w:rsidRDefault="00821E97" w:rsidP="002D6E5C">
      <w:pPr>
        <w:pStyle w:val="Titre5Danone"/>
        <w:rPr>
          <w:b w:val="0"/>
          <w:sz w:val="24"/>
          <w:lang w:val="en-US"/>
        </w:rPr>
      </w:pPr>
      <w:r>
        <w:rPr>
          <w:b w:val="0"/>
          <w:noProof/>
          <w:lang w:val="en-US"/>
        </w:rPr>
        <w:drawing>
          <wp:inline distT="0" distB="0" distL="0" distR="0" wp14:anchorId="2935D203" wp14:editId="020BD491">
            <wp:extent cx="360000" cy="360000"/>
            <wp:effectExtent l="0" t="0" r="0" b="0"/>
            <wp:docPr id="12" name="Graphique 12" descr="Cœur avec pul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rtWithPulse.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60000" cy="360000"/>
                    </a:xfrm>
                    <a:prstGeom prst="rect">
                      <a:avLst/>
                    </a:prstGeom>
                  </pic:spPr>
                </pic:pic>
              </a:graphicData>
            </a:graphic>
          </wp:inline>
        </w:drawing>
      </w:r>
      <w:r w:rsidR="00830CEC">
        <w:rPr>
          <w:b w:val="0"/>
          <w:sz w:val="24"/>
          <w:lang w:val="en-US"/>
        </w:rPr>
        <w:t xml:space="preserve"> Percentage</w:t>
      </w:r>
      <w:r w:rsidR="002D6E5C" w:rsidRPr="00DF071E">
        <w:rPr>
          <w:b w:val="0"/>
          <w:sz w:val="24"/>
          <w:lang w:val="en-US"/>
        </w:rPr>
        <w:t xml:space="preserve"> of employees who had access to the Health @ Work program</w:t>
      </w:r>
    </w:p>
    <w:p w14:paraId="29F39582" w14:textId="3713B7DB" w:rsidR="005225B1" w:rsidRPr="00DF071E" w:rsidRDefault="002D6E5C" w:rsidP="002D6E5C">
      <w:pPr>
        <w:pStyle w:val="NormalDanone"/>
        <w:rPr>
          <w:sz w:val="20"/>
          <w:lang w:val="en-US"/>
        </w:rPr>
      </w:pPr>
      <w:r w:rsidRPr="00DF071E">
        <w:rPr>
          <w:sz w:val="20"/>
          <w:lang w:val="en-US"/>
        </w:rPr>
        <w:t>Th</w:t>
      </w:r>
      <w:r w:rsidR="00830CEC">
        <w:rPr>
          <w:sz w:val="20"/>
          <w:lang w:val="en-US"/>
        </w:rPr>
        <w:t xml:space="preserve">is indicator is calculated on </w:t>
      </w:r>
      <w:r w:rsidR="006747EC" w:rsidRPr="00934413">
        <w:rPr>
          <w:sz w:val="20"/>
          <w:lang w:val="en-US"/>
        </w:rPr>
        <w:t>the</w:t>
      </w:r>
      <w:r w:rsidR="006747EC">
        <w:rPr>
          <w:sz w:val="20"/>
          <w:lang w:val="en-US"/>
        </w:rPr>
        <w:t xml:space="preserve"> </w:t>
      </w:r>
      <w:r w:rsidR="008219B0">
        <w:rPr>
          <w:sz w:val="20"/>
          <w:lang w:val="en-US"/>
        </w:rPr>
        <w:t xml:space="preserve">total </w:t>
      </w:r>
      <w:r w:rsidRPr="00DF071E">
        <w:rPr>
          <w:sz w:val="20"/>
          <w:lang w:val="en-US"/>
        </w:rPr>
        <w:t xml:space="preserve">number of </w:t>
      </w:r>
      <w:r w:rsidR="008219B0">
        <w:rPr>
          <w:sz w:val="20"/>
          <w:lang w:val="en-US"/>
        </w:rPr>
        <w:t xml:space="preserve">employees in the </w:t>
      </w:r>
      <w:r w:rsidRPr="00DF071E">
        <w:rPr>
          <w:sz w:val="20"/>
          <w:lang w:val="en-US"/>
        </w:rPr>
        <w:t>subsidiar</w:t>
      </w:r>
      <w:r w:rsidR="008219B0">
        <w:rPr>
          <w:sz w:val="20"/>
          <w:lang w:val="en-US"/>
        </w:rPr>
        <w:t>ies from</w:t>
      </w:r>
      <w:r w:rsidRPr="00DF071E">
        <w:rPr>
          <w:sz w:val="20"/>
          <w:lang w:val="en-US"/>
        </w:rPr>
        <w:t xml:space="preserve"> the One Health </w:t>
      </w:r>
      <w:r w:rsidR="008219B0">
        <w:rPr>
          <w:sz w:val="20"/>
          <w:lang w:val="en-US"/>
        </w:rPr>
        <w:t xml:space="preserve">Scorecard </w:t>
      </w:r>
      <w:r w:rsidRPr="00DF071E">
        <w:rPr>
          <w:sz w:val="20"/>
          <w:lang w:val="en-US"/>
        </w:rPr>
        <w:t>scope</w:t>
      </w:r>
      <w:r w:rsidR="00830CEC">
        <w:rPr>
          <w:sz w:val="20"/>
          <w:lang w:val="en-US"/>
        </w:rPr>
        <w:t xml:space="preserve">. In 2018, </w:t>
      </w:r>
      <w:r w:rsidRPr="00DF071E">
        <w:rPr>
          <w:sz w:val="20"/>
          <w:lang w:val="en-US"/>
        </w:rPr>
        <w:t>61 out of 61 subsidiaries</w:t>
      </w:r>
      <w:r w:rsidR="00830CEC">
        <w:rPr>
          <w:sz w:val="20"/>
          <w:lang w:val="en-US"/>
        </w:rPr>
        <w:t xml:space="preserve"> had a Health @ Work program</w:t>
      </w:r>
      <w:r w:rsidRPr="00DF071E">
        <w:rPr>
          <w:sz w:val="20"/>
          <w:lang w:val="en-US"/>
        </w:rPr>
        <w:t xml:space="preserve">. </w:t>
      </w:r>
    </w:p>
    <w:p w14:paraId="3A9482A8" w14:textId="00914A63" w:rsidR="00110F6A" w:rsidRDefault="002D6E5C" w:rsidP="002D6E5C">
      <w:pPr>
        <w:pStyle w:val="NormalDanone"/>
        <w:rPr>
          <w:sz w:val="20"/>
          <w:lang w:val="en-US"/>
        </w:rPr>
      </w:pPr>
      <w:r w:rsidRPr="00DF071E">
        <w:rPr>
          <w:sz w:val="20"/>
          <w:lang w:val="en-US"/>
        </w:rPr>
        <w:t>A program is characterized as Health @ Work if it includes one of the three dimensions (Healthy Diet, Healthy Body, Healthy Mind)</w:t>
      </w:r>
      <w:r w:rsidR="00110F6A">
        <w:rPr>
          <w:sz w:val="20"/>
          <w:lang w:val="en-US"/>
        </w:rPr>
        <w:t xml:space="preserve"> and if at least one activity/initiative is offered for free.</w:t>
      </w:r>
    </w:p>
    <w:p w14:paraId="2E1D5ABC" w14:textId="77777777" w:rsidR="00F70CA2" w:rsidRPr="008219B0" w:rsidRDefault="007D01C5" w:rsidP="008219B0">
      <w:pPr>
        <w:pStyle w:val="NormalDanone"/>
        <w:rPr>
          <w:sz w:val="20"/>
          <w:lang w:val="en-US"/>
        </w:rPr>
      </w:pPr>
      <w:r w:rsidRPr="008219B0">
        <w:rPr>
          <w:sz w:val="20"/>
          <w:lang w:val="en-US"/>
        </w:rPr>
        <w:t xml:space="preserve">Definition of </w:t>
      </w:r>
      <w:r w:rsidRPr="00830CEC">
        <w:rPr>
          <w:sz w:val="20"/>
          <w:lang w:val="en-US"/>
        </w:rPr>
        <w:t>access is based on practicality</w:t>
      </w:r>
      <w:r w:rsidRPr="008219B0">
        <w:rPr>
          <w:sz w:val="20"/>
          <w:lang w:val="en-US"/>
        </w:rPr>
        <w:t>:</w:t>
      </w:r>
    </w:p>
    <w:p w14:paraId="15C548CA" w14:textId="704E2B45" w:rsidR="008219B0" w:rsidRDefault="007D01C5" w:rsidP="008F5E78">
      <w:pPr>
        <w:pStyle w:val="NormalDanone"/>
        <w:numPr>
          <w:ilvl w:val="0"/>
          <w:numId w:val="9"/>
        </w:numPr>
        <w:rPr>
          <w:sz w:val="20"/>
          <w:lang w:val="en-US"/>
        </w:rPr>
      </w:pPr>
      <w:r w:rsidRPr="008219B0">
        <w:rPr>
          <w:sz w:val="20"/>
          <w:lang w:val="en-US"/>
        </w:rPr>
        <w:t xml:space="preserve">For </w:t>
      </w:r>
      <w:r w:rsidR="00830CEC" w:rsidRPr="008219B0">
        <w:rPr>
          <w:sz w:val="20"/>
          <w:lang w:val="en-US"/>
        </w:rPr>
        <w:t>instance,</w:t>
      </w:r>
      <w:r w:rsidRPr="008219B0">
        <w:rPr>
          <w:sz w:val="20"/>
          <w:lang w:val="en-US"/>
        </w:rPr>
        <w:t xml:space="preserve"> if there is a fitness room in an office building, </w:t>
      </w:r>
      <w:r w:rsidR="00830CEC">
        <w:rPr>
          <w:sz w:val="20"/>
          <w:lang w:val="en-US"/>
        </w:rPr>
        <w:t>only</w:t>
      </w:r>
      <w:r w:rsidRPr="008219B0">
        <w:rPr>
          <w:sz w:val="20"/>
          <w:lang w:val="en-US"/>
        </w:rPr>
        <w:t xml:space="preserve"> </w:t>
      </w:r>
      <w:r w:rsidR="006747EC" w:rsidRPr="00934413">
        <w:rPr>
          <w:sz w:val="20"/>
          <w:lang w:val="en-US"/>
        </w:rPr>
        <w:t>the</w:t>
      </w:r>
      <w:r w:rsidR="006747EC">
        <w:rPr>
          <w:sz w:val="20"/>
          <w:lang w:val="en-US"/>
        </w:rPr>
        <w:t xml:space="preserve"> </w:t>
      </w:r>
      <w:r w:rsidRPr="008219B0">
        <w:rPr>
          <w:sz w:val="20"/>
          <w:lang w:val="en-US"/>
        </w:rPr>
        <w:t>employees located in this building</w:t>
      </w:r>
      <w:r w:rsidR="00830CEC">
        <w:rPr>
          <w:sz w:val="20"/>
          <w:lang w:val="en-US"/>
        </w:rPr>
        <w:t xml:space="preserve"> were </w:t>
      </w:r>
      <w:r w:rsidR="006747EC" w:rsidRPr="00934413">
        <w:rPr>
          <w:sz w:val="20"/>
          <w:lang w:val="en-US"/>
        </w:rPr>
        <w:t>counted</w:t>
      </w:r>
      <w:r w:rsidRPr="008219B0">
        <w:rPr>
          <w:sz w:val="20"/>
          <w:lang w:val="en-US"/>
        </w:rPr>
        <w:t>, even those not actually using the fitness room (they have access if they want);</w:t>
      </w:r>
    </w:p>
    <w:p w14:paraId="06C25DCE" w14:textId="5E4A39BC" w:rsidR="00830CEC" w:rsidRDefault="008219B0" w:rsidP="008F5E78">
      <w:pPr>
        <w:pStyle w:val="NormalDanone"/>
        <w:numPr>
          <w:ilvl w:val="0"/>
          <w:numId w:val="9"/>
        </w:numPr>
        <w:rPr>
          <w:sz w:val="20"/>
          <w:lang w:val="en-US"/>
        </w:rPr>
      </w:pPr>
      <w:r w:rsidRPr="008219B0">
        <w:rPr>
          <w:sz w:val="20"/>
          <w:lang w:val="en-US"/>
        </w:rPr>
        <w:t xml:space="preserve">For </w:t>
      </w:r>
      <w:r w:rsidR="00830CEC" w:rsidRPr="008219B0">
        <w:rPr>
          <w:sz w:val="20"/>
          <w:lang w:val="en-US"/>
        </w:rPr>
        <w:t>instance,</w:t>
      </w:r>
      <w:r w:rsidRPr="008219B0">
        <w:rPr>
          <w:sz w:val="20"/>
          <w:lang w:val="en-US"/>
        </w:rPr>
        <w:t xml:space="preserve"> employees in the </w:t>
      </w:r>
      <w:r w:rsidRPr="00830CEC">
        <w:rPr>
          <w:sz w:val="20"/>
          <w:lang w:val="en-US"/>
        </w:rPr>
        <w:t>sales force</w:t>
      </w:r>
      <w:r w:rsidRPr="008219B0">
        <w:rPr>
          <w:sz w:val="20"/>
          <w:lang w:val="en-US"/>
        </w:rPr>
        <w:t xml:space="preserve">, if they are always away from office, can’t take advantage of the gym - so in reality they do not have access. </w:t>
      </w:r>
      <w:r w:rsidR="00A91E81">
        <w:rPr>
          <w:sz w:val="20"/>
          <w:lang w:val="en-US"/>
        </w:rPr>
        <w:t>Therefore,</w:t>
      </w:r>
      <w:r w:rsidR="00830CEC">
        <w:rPr>
          <w:sz w:val="20"/>
          <w:lang w:val="en-US"/>
        </w:rPr>
        <w:t xml:space="preserve"> s</w:t>
      </w:r>
      <w:r w:rsidRPr="008219B0">
        <w:rPr>
          <w:sz w:val="20"/>
          <w:lang w:val="en-US"/>
        </w:rPr>
        <w:t xml:space="preserve">ales force </w:t>
      </w:r>
      <w:r w:rsidR="00830CEC">
        <w:rPr>
          <w:sz w:val="20"/>
          <w:lang w:val="en-US"/>
        </w:rPr>
        <w:t xml:space="preserve">can be </w:t>
      </w:r>
      <w:r w:rsidR="006747EC" w:rsidRPr="00934413">
        <w:rPr>
          <w:sz w:val="20"/>
          <w:lang w:val="en-US"/>
        </w:rPr>
        <w:t>counted</w:t>
      </w:r>
      <w:r w:rsidR="00830CEC">
        <w:rPr>
          <w:sz w:val="20"/>
          <w:lang w:val="en-US"/>
        </w:rPr>
        <w:t xml:space="preserve"> only </w:t>
      </w:r>
      <w:r w:rsidRPr="008219B0">
        <w:rPr>
          <w:sz w:val="20"/>
          <w:lang w:val="en-US"/>
        </w:rPr>
        <w:t xml:space="preserve">if </w:t>
      </w:r>
      <w:r w:rsidR="00830CEC">
        <w:rPr>
          <w:sz w:val="20"/>
          <w:lang w:val="en-US"/>
        </w:rPr>
        <w:t>the subsidiary</w:t>
      </w:r>
      <w:r w:rsidRPr="008219B0">
        <w:rPr>
          <w:sz w:val="20"/>
          <w:lang w:val="en-US"/>
        </w:rPr>
        <w:t xml:space="preserve"> </w:t>
      </w:r>
      <w:r w:rsidR="00830CEC">
        <w:rPr>
          <w:sz w:val="20"/>
          <w:lang w:val="en-US"/>
        </w:rPr>
        <w:t xml:space="preserve">is </w:t>
      </w:r>
      <w:r w:rsidRPr="008219B0">
        <w:rPr>
          <w:sz w:val="20"/>
          <w:lang w:val="en-US"/>
        </w:rPr>
        <w:t>organiz</w:t>
      </w:r>
      <w:r w:rsidR="00830CEC">
        <w:rPr>
          <w:sz w:val="20"/>
          <w:lang w:val="en-US"/>
        </w:rPr>
        <w:t>ing</w:t>
      </w:r>
      <w:r w:rsidRPr="008219B0">
        <w:rPr>
          <w:sz w:val="20"/>
          <w:lang w:val="en-US"/>
        </w:rPr>
        <w:t xml:space="preserve"> something accessible to them like </w:t>
      </w:r>
      <w:r w:rsidR="00830CEC">
        <w:rPr>
          <w:sz w:val="20"/>
          <w:lang w:val="en-US"/>
        </w:rPr>
        <w:t>i</w:t>
      </w:r>
      <w:r w:rsidRPr="008219B0">
        <w:rPr>
          <w:sz w:val="20"/>
          <w:lang w:val="en-US"/>
        </w:rPr>
        <w:t>.</w:t>
      </w:r>
      <w:r w:rsidR="00830CEC">
        <w:rPr>
          <w:sz w:val="20"/>
          <w:lang w:val="en-US"/>
        </w:rPr>
        <w:t>e</w:t>
      </w:r>
      <w:r w:rsidRPr="008219B0">
        <w:rPr>
          <w:sz w:val="20"/>
          <w:lang w:val="en-US"/>
        </w:rPr>
        <w:t xml:space="preserve">. a running outside during the Weekend or </w:t>
      </w:r>
      <w:proofErr w:type="spellStart"/>
      <w:r w:rsidRPr="008219B0">
        <w:rPr>
          <w:sz w:val="20"/>
          <w:lang w:val="en-US"/>
        </w:rPr>
        <w:t>informations</w:t>
      </w:r>
      <w:proofErr w:type="spellEnd"/>
      <w:r w:rsidRPr="008219B0">
        <w:rPr>
          <w:sz w:val="20"/>
          <w:lang w:val="en-US"/>
        </w:rPr>
        <w:t xml:space="preserve"> sent by email (on nutrition, health, physical activity, …).</w:t>
      </w:r>
    </w:p>
    <w:p w14:paraId="743F1AC3" w14:textId="1263A3B8" w:rsidR="002D6E5C" w:rsidRPr="008219B0" w:rsidRDefault="002D6E5C" w:rsidP="00830CEC">
      <w:pPr>
        <w:pStyle w:val="NormalDanone"/>
        <w:rPr>
          <w:sz w:val="20"/>
          <w:lang w:val="en-US"/>
        </w:rPr>
      </w:pPr>
      <w:r w:rsidRPr="008219B0">
        <w:rPr>
          <w:sz w:val="20"/>
          <w:lang w:val="en-US"/>
        </w:rPr>
        <w:t xml:space="preserve">One subsidiary, out of 61, reported the data only from its </w:t>
      </w:r>
      <w:r w:rsidR="006747EC" w:rsidRPr="00934413">
        <w:rPr>
          <w:sz w:val="20"/>
          <w:lang w:val="en-US"/>
        </w:rPr>
        <w:t>head offices</w:t>
      </w:r>
      <w:r w:rsidRPr="008219B0">
        <w:rPr>
          <w:sz w:val="20"/>
          <w:lang w:val="en-US"/>
        </w:rPr>
        <w:t xml:space="preserve"> and didn’t collect the data from its plants.</w:t>
      </w:r>
    </w:p>
    <w:p w14:paraId="24C2C721" w14:textId="35B64924" w:rsidR="002D6E5C" w:rsidRDefault="002D6E5C" w:rsidP="002D6E5C">
      <w:pPr>
        <w:rPr>
          <w:b/>
          <w:color w:val="FF0000"/>
          <w:sz w:val="24"/>
        </w:rPr>
      </w:pPr>
    </w:p>
    <w:p w14:paraId="2D20B7C8" w14:textId="77777777" w:rsidR="00E03C3B" w:rsidRPr="00110F6A" w:rsidRDefault="00E03C3B" w:rsidP="002D6E5C">
      <w:pPr>
        <w:rPr>
          <w:b/>
          <w:color w:val="FF0000"/>
          <w:sz w:val="24"/>
        </w:rPr>
      </w:pPr>
    </w:p>
    <w:p w14:paraId="5F5E103B" w14:textId="41749A74" w:rsidR="002D6E5C" w:rsidRPr="00DF071E" w:rsidRDefault="00821E97" w:rsidP="002D6E5C">
      <w:pPr>
        <w:pStyle w:val="Titre5Danone"/>
        <w:rPr>
          <w:b w:val="0"/>
          <w:sz w:val="24"/>
          <w:lang w:val="en-US"/>
        </w:rPr>
      </w:pPr>
      <w:r w:rsidRPr="00DF071E">
        <w:rPr>
          <w:b w:val="0"/>
          <w:noProof/>
          <w:sz w:val="24"/>
          <w:lang w:val="en-US"/>
        </w:rPr>
        <w:lastRenderedPageBreak/>
        <w:drawing>
          <wp:inline distT="0" distB="0" distL="0" distR="0" wp14:anchorId="315619C0" wp14:editId="421E2119">
            <wp:extent cx="360000" cy="360000"/>
            <wp:effectExtent l="0" t="0" r="2540" b="2540"/>
            <wp:docPr id="13" name="Graphique 13" descr="Connex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nections.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0000" cy="360000"/>
                    </a:xfrm>
                    <a:prstGeom prst="rect">
                      <a:avLst/>
                    </a:prstGeom>
                  </pic:spPr>
                </pic:pic>
              </a:graphicData>
            </a:graphic>
          </wp:inline>
        </w:drawing>
      </w:r>
      <w:r w:rsidR="002D6E5C" w:rsidRPr="00DF071E">
        <w:rPr>
          <w:b w:val="0"/>
          <w:sz w:val="24"/>
          <w:lang w:val="en-US"/>
        </w:rPr>
        <w:t>Number of active expert advisory panels</w:t>
      </w:r>
    </w:p>
    <w:p w14:paraId="5E04DE35" w14:textId="443988EF" w:rsidR="00110F6A" w:rsidRDefault="002D6E5C" w:rsidP="00605471">
      <w:pPr>
        <w:pStyle w:val="NormalDanone"/>
        <w:rPr>
          <w:sz w:val="20"/>
        </w:rPr>
      </w:pPr>
      <w:r w:rsidRPr="00DF071E">
        <w:rPr>
          <w:sz w:val="20"/>
        </w:rPr>
        <w:t>A panel of experts is defined as a group of scientists/healthcare professionals</w:t>
      </w:r>
      <w:r w:rsidR="006747EC" w:rsidRPr="00934413">
        <w:rPr>
          <w:sz w:val="20"/>
        </w:rPr>
        <w:t>,</w:t>
      </w:r>
      <w:r w:rsidR="006747EC">
        <w:rPr>
          <w:sz w:val="20"/>
        </w:rPr>
        <w:t xml:space="preserve"> </w:t>
      </w:r>
      <w:r w:rsidRPr="00DF071E">
        <w:rPr>
          <w:sz w:val="20"/>
        </w:rPr>
        <w:t>from international or local reputed organizations</w:t>
      </w:r>
      <w:r w:rsidR="006747EC">
        <w:rPr>
          <w:sz w:val="20"/>
        </w:rPr>
        <w:t>,</w:t>
      </w:r>
      <w:r w:rsidRPr="00DF071E">
        <w:rPr>
          <w:sz w:val="20"/>
        </w:rPr>
        <w:t xml:space="preserve"> recognized for </w:t>
      </w:r>
      <w:r w:rsidR="006747EC" w:rsidRPr="00934413">
        <w:rPr>
          <w:sz w:val="20"/>
        </w:rPr>
        <w:t>their</w:t>
      </w:r>
      <w:r w:rsidRPr="00DF071E">
        <w:rPr>
          <w:sz w:val="20"/>
        </w:rPr>
        <w:t xml:space="preserve"> expertise</w:t>
      </w:r>
      <w:r w:rsidR="006747EC" w:rsidRPr="00934413">
        <w:rPr>
          <w:sz w:val="20"/>
        </w:rPr>
        <w:t>,</w:t>
      </w:r>
      <w:r w:rsidRPr="00DF071E">
        <w:rPr>
          <w:sz w:val="20"/>
        </w:rPr>
        <w:t xml:space="preserve"> who exchange on a regular basis (minimum one meeting during the last 3 years) with Danone teams to evaluate the relevance, credibility and effectiveness of product innovations, research plans, scientific communication, etc. </w:t>
      </w:r>
    </w:p>
    <w:p w14:paraId="15D9D131" w14:textId="16E9A752" w:rsidR="002C6A37" w:rsidRPr="00605471" w:rsidRDefault="002D6E5C" w:rsidP="00605471">
      <w:pPr>
        <w:pStyle w:val="NormalDanone"/>
        <w:rPr>
          <w:sz w:val="20"/>
          <w:lang w:val="en-US"/>
        </w:rPr>
      </w:pPr>
      <w:r w:rsidRPr="00DF071E">
        <w:rPr>
          <w:sz w:val="20"/>
          <w:lang w:val="en-US"/>
        </w:rPr>
        <w:t>Each entity must provide evidence of the meeting</w:t>
      </w:r>
      <w:r w:rsidR="006747EC" w:rsidRPr="00934413">
        <w:rPr>
          <w:sz w:val="20"/>
          <w:lang w:val="en-US"/>
        </w:rPr>
        <w:t>(s)</w:t>
      </w:r>
      <w:r w:rsidRPr="00DF071E">
        <w:rPr>
          <w:sz w:val="20"/>
          <w:lang w:val="en-US"/>
        </w:rPr>
        <w:t xml:space="preserve"> organized with the panel. For lack of proof, the panel is not </w:t>
      </w:r>
      <w:r w:rsidR="006747EC" w:rsidRPr="00934413">
        <w:rPr>
          <w:sz w:val="20"/>
          <w:lang w:val="en-US"/>
        </w:rPr>
        <w:t>counted</w:t>
      </w:r>
      <w:r w:rsidRPr="00DF071E">
        <w:rPr>
          <w:sz w:val="20"/>
          <w:lang w:val="en-US"/>
        </w:rPr>
        <w:t>.</w:t>
      </w:r>
      <w:bookmarkStart w:id="4" w:name="_GoBack"/>
      <w:bookmarkEnd w:id="4"/>
    </w:p>
    <w:sectPr w:rsidR="002C6A37" w:rsidRPr="00605471" w:rsidSect="00CB4BDD">
      <w:footerReference w:type="default" r:id="rId41"/>
      <w:pgSz w:w="11907" w:h="16840"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4757" w14:textId="77777777" w:rsidR="00D40B91" w:rsidRDefault="00D40B91" w:rsidP="00361719">
      <w:pPr>
        <w:spacing w:after="0" w:line="240" w:lineRule="auto"/>
      </w:pPr>
      <w:r>
        <w:separator/>
      </w:r>
    </w:p>
  </w:endnote>
  <w:endnote w:type="continuationSeparator" w:id="0">
    <w:p w14:paraId="319D7AA2" w14:textId="77777777" w:rsidR="00D40B91" w:rsidRDefault="00D40B91" w:rsidP="0036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OT-Light">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E0A7" w14:textId="7C350D91" w:rsidR="008F5E78" w:rsidRDefault="008F5E78" w:rsidP="004A04E1">
    <w:pPr>
      <w:pStyle w:val="Pieddepage"/>
      <w:jc w:val="center"/>
    </w:pPr>
    <w:r>
      <w:t xml:space="preserve">Danone – One Health Scorecard process 2018: Methodology Note – Page </w:t>
    </w:r>
    <w:r>
      <w:fldChar w:fldCharType="begin"/>
    </w:r>
    <w:r>
      <w:instrText>PAGE   \* MERGEFORMAT</w:instrText>
    </w:r>
    <w:r>
      <w:fldChar w:fldCharType="separate"/>
    </w:r>
    <w:r w:rsidRPr="00CF6C9F">
      <w:rPr>
        <w:noProof/>
        <w:lang w:val="en-US"/>
      </w:rPr>
      <w:t>11</w:t>
    </w:r>
    <w:r>
      <w:fldChar w:fldCharType="end"/>
    </w:r>
    <w:r>
      <w:t xml:space="preserve"> / </w:t>
    </w:r>
    <w:r w:rsidR="00E03C3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C29F" w14:textId="77777777" w:rsidR="00D40B91" w:rsidRDefault="00D40B91" w:rsidP="00361719">
      <w:pPr>
        <w:spacing w:after="0" w:line="240" w:lineRule="auto"/>
      </w:pPr>
      <w:r>
        <w:separator/>
      </w:r>
    </w:p>
  </w:footnote>
  <w:footnote w:type="continuationSeparator" w:id="0">
    <w:p w14:paraId="6AEA2FD3" w14:textId="77777777" w:rsidR="00D40B91" w:rsidRDefault="00D40B91" w:rsidP="0036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41A"/>
    <w:multiLevelType w:val="hybridMultilevel"/>
    <w:tmpl w:val="9FC264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9EC23D1"/>
    <w:multiLevelType w:val="hybridMultilevel"/>
    <w:tmpl w:val="F4867C3C"/>
    <w:lvl w:ilvl="0" w:tplc="7918E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320A92"/>
    <w:multiLevelType w:val="hybridMultilevel"/>
    <w:tmpl w:val="B2D8AEE6"/>
    <w:lvl w:ilvl="0" w:tplc="AD7E424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167328"/>
    <w:multiLevelType w:val="hybridMultilevel"/>
    <w:tmpl w:val="335261EA"/>
    <w:lvl w:ilvl="0" w:tplc="A66AC802">
      <w:start w:val="1"/>
      <w:numFmt w:val="decimal"/>
      <w:lvlText w:val="%1."/>
      <w:lvlJc w:val="left"/>
      <w:pPr>
        <w:tabs>
          <w:tab w:val="num" w:pos="720"/>
        </w:tabs>
        <w:ind w:left="720" w:hanging="360"/>
      </w:pPr>
    </w:lvl>
    <w:lvl w:ilvl="1" w:tplc="86FC0BD8" w:tentative="1">
      <w:start w:val="1"/>
      <w:numFmt w:val="decimal"/>
      <w:lvlText w:val="%2."/>
      <w:lvlJc w:val="left"/>
      <w:pPr>
        <w:tabs>
          <w:tab w:val="num" w:pos="1440"/>
        </w:tabs>
        <w:ind w:left="1440" w:hanging="360"/>
      </w:pPr>
    </w:lvl>
    <w:lvl w:ilvl="2" w:tplc="D8142E62" w:tentative="1">
      <w:start w:val="1"/>
      <w:numFmt w:val="decimal"/>
      <w:lvlText w:val="%3."/>
      <w:lvlJc w:val="left"/>
      <w:pPr>
        <w:tabs>
          <w:tab w:val="num" w:pos="2160"/>
        </w:tabs>
        <w:ind w:left="2160" w:hanging="360"/>
      </w:pPr>
    </w:lvl>
    <w:lvl w:ilvl="3" w:tplc="C864624E" w:tentative="1">
      <w:start w:val="1"/>
      <w:numFmt w:val="decimal"/>
      <w:lvlText w:val="%4."/>
      <w:lvlJc w:val="left"/>
      <w:pPr>
        <w:tabs>
          <w:tab w:val="num" w:pos="2880"/>
        </w:tabs>
        <w:ind w:left="2880" w:hanging="360"/>
      </w:pPr>
    </w:lvl>
    <w:lvl w:ilvl="4" w:tplc="AF76E4DC" w:tentative="1">
      <w:start w:val="1"/>
      <w:numFmt w:val="decimal"/>
      <w:lvlText w:val="%5."/>
      <w:lvlJc w:val="left"/>
      <w:pPr>
        <w:tabs>
          <w:tab w:val="num" w:pos="3600"/>
        </w:tabs>
        <w:ind w:left="3600" w:hanging="360"/>
      </w:pPr>
    </w:lvl>
    <w:lvl w:ilvl="5" w:tplc="46DE49E6" w:tentative="1">
      <w:start w:val="1"/>
      <w:numFmt w:val="decimal"/>
      <w:lvlText w:val="%6."/>
      <w:lvlJc w:val="left"/>
      <w:pPr>
        <w:tabs>
          <w:tab w:val="num" w:pos="4320"/>
        </w:tabs>
        <w:ind w:left="4320" w:hanging="360"/>
      </w:pPr>
    </w:lvl>
    <w:lvl w:ilvl="6" w:tplc="8F3EE8DC" w:tentative="1">
      <w:start w:val="1"/>
      <w:numFmt w:val="decimal"/>
      <w:lvlText w:val="%7."/>
      <w:lvlJc w:val="left"/>
      <w:pPr>
        <w:tabs>
          <w:tab w:val="num" w:pos="5040"/>
        </w:tabs>
        <w:ind w:left="5040" w:hanging="360"/>
      </w:pPr>
    </w:lvl>
    <w:lvl w:ilvl="7" w:tplc="EF3C5B50" w:tentative="1">
      <w:start w:val="1"/>
      <w:numFmt w:val="decimal"/>
      <w:lvlText w:val="%8."/>
      <w:lvlJc w:val="left"/>
      <w:pPr>
        <w:tabs>
          <w:tab w:val="num" w:pos="5760"/>
        </w:tabs>
        <w:ind w:left="5760" w:hanging="360"/>
      </w:pPr>
    </w:lvl>
    <w:lvl w:ilvl="8" w:tplc="9092D7E6" w:tentative="1">
      <w:start w:val="1"/>
      <w:numFmt w:val="decimal"/>
      <w:lvlText w:val="%9."/>
      <w:lvlJc w:val="left"/>
      <w:pPr>
        <w:tabs>
          <w:tab w:val="num" w:pos="6480"/>
        </w:tabs>
        <w:ind w:left="6480" w:hanging="360"/>
      </w:pPr>
    </w:lvl>
  </w:abstractNum>
  <w:abstractNum w:abstractNumId="4" w15:restartNumberingAfterBreak="0">
    <w:nsid w:val="556E1878"/>
    <w:multiLevelType w:val="hybridMultilevel"/>
    <w:tmpl w:val="F4ACF78C"/>
    <w:lvl w:ilvl="0" w:tplc="8E1C31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D43504"/>
    <w:multiLevelType w:val="hybridMultilevel"/>
    <w:tmpl w:val="390866E2"/>
    <w:lvl w:ilvl="0" w:tplc="0986AD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AF7223"/>
    <w:multiLevelType w:val="hybridMultilevel"/>
    <w:tmpl w:val="FE64F21C"/>
    <w:lvl w:ilvl="0" w:tplc="DEE492C2">
      <w:start w:val="1"/>
      <w:numFmt w:val="bullet"/>
      <w:lvlText w:val=""/>
      <w:lvlJc w:val="left"/>
      <w:pPr>
        <w:tabs>
          <w:tab w:val="num" w:pos="720"/>
        </w:tabs>
        <w:ind w:left="720" w:hanging="360"/>
      </w:pPr>
      <w:rPr>
        <w:rFonts w:ascii="Wingdings" w:hAnsi="Wingdings" w:hint="default"/>
      </w:rPr>
    </w:lvl>
    <w:lvl w:ilvl="1" w:tplc="C7CA08A2" w:tentative="1">
      <w:start w:val="1"/>
      <w:numFmt w:val="bullet"/>
      <w:lvlText w:val=""/>
      <w:lvlJc w:val="left"/>
      <w:pPr>
        <w:tabs>
          <w:tab w:val="num" w:pos="1440"/>
        </w:tabs>
        <w:ind w:left="1440" w:hanging="360"/>
      </w:pPr>
      <w:rPr>
        <w:rFonts w:ascii="Wingdings" w:hAnsi="Wingdings" w:hint="default"/>
      </w:rPr>
    </w:lvl>
    <w:lvl w:ilvl="2" w:tplc="79704266" w:tentative="1">
      <w:start w:val="1"/>
      <w:numFmt w:val="bullet"/>
      <w:lvlText w:val=""/>
      <w:lvlJc w:val="left"/>
      <w:pPr>
        <w:tabs>
          <w:tab w:val="num" w:pos="2160"/>
        </w:tabs>
        <w:ind w:left="2160" w:hanging="360"/>
      </w:pPr>
      <w:rPr>
        <w:rFonts w:ascii="Wingdings" w:hAnsi="Wingdings" w:hint="default"/>
      </w:rPr>
    </w:lvl>
    <w:lvl w:ilvl="3" w:tplc="8F00650E" w:tentative="1">
      <w:start w:val="1"/>
      <w:numFmt w:val="bullet"/>
      <w:lvlText w:val=""/>
      <w:lvlJc w:val="left"/>
      <w:pPr>
        <w:tabs>
          <w:tab w:val="num" w:pos="2880"/>
        </w:tabs>
        <w:ind w:left="2880" w:hanging="360"/>
      </w:pPr>
      <w:rPr>
        <w:rFonts w:ascii="Wingdings" w:hAnsi="Wingdings" w:hint="default"/>
      </w:rPr>
    </w:lvl>
    <w:lvl w:ilvl="4" w:tplc="56F8D78A" w:tentative="1">
      <w:start w:val="1"/>
      <w:numFmt w:val="bullet"/>
      <w:lvlText w:val=""/>
      <w:lvlJc w:val="left"/>
      <w:pPr>
        <w:tabs>
          <w:tab w:val="num" w:pos="3600"/>
        </w:tabs>
        <w:ind w:left="3600" w:hanging="360"/>
      </w:pPr>
      <w:rPr>
        <w:rFonts w:ascii="Wingdings" w:hAnsi="Wingdings" w:hint="default"/>
      </w:rPr>
    </w:lvl>
    <w:lvl w:ilvl="5" w:tplc="6FC2070C" w:tentative="1">
      <w:start w:val="1"/>
      <w:numFmt w:val="bullet"/>
      <w:lvlText w:val=""/>
      <w:lvlJc w:val="left"/>
      <w:pPr>
        <w:tabs>
          <w:tab w:val="num" w:pos="4320"/>
        </w:tabs>
        <w:ind w:left="4320" w:hanging="360"/>
      </w:pPr>
      <w:rPr>
        <w:rFonts w:ascii="Wingdings" w:hAnsi="Wingdings" w:hint="default"/>
      </w:rPr>
    </w:lvl>
    <w:lvl w:ilvl="6" w:tplc="D5301202" w:tentative="1">
      <w:start w:val="1"/>
      <w:numFmt w:val="bullet"/>
      <w:lvlText w:val=""/>
      <w:lvlJc w:val="left"/>
      <w:pPr>
        <w:tabs>
          <w:tab w:val="num" w:pos="5040"/>
        </w:tabs>
        <w:ind w:left="5040" w:hanging="360"/>
      </w:pPr>
      <w:rPr>
        <w:rFonts w:ascii="Wingdings" w:hAnsi="Wingdings" w:hint="default"/>
      </w:rPr>
    </w:lvl>
    <w:lvl w:ilvl="7" w:tplc="57667452" w:tentative="1">
      <w:start w:val="1"/>
      <w:numFmt w:val="bullet"/>
      <w:lvlText w:val=""/>
      <w:lvlJc w:val="left"/>
      <w:pPr>
        <w:tabs>
          <w:tab w:val="num" w:pos="5760"/>
        </w:tabs>
        <w:ind w:left="5760" w:hanging="360"/>
      </w:pPr>
      <w:rPr>
        <w:rFonts w:ascii="Wingdings" w:hAnsi="Wingdings" w:hint="default"/>
      </w:rPr>
    </w:lvl>
    <w:lvl w:ilvl="8" w:tplc="F710B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7E17D5"/>
    <w:multiLevelType w:val="hybridMultilevel"/>
    <w:tmpl w:val="13F87BF4"/>
    <w:lvl w:ilvl="0" w:tplc="DDC6B856">
      <w:start w:val="1"/>
      <w:numFmt w:val="bullet"/>
      <w:pStyle w:val="ListeDanonebulletitaliquebleu"/>
      <w:lvlText w:val=""/>
      <w:lvlJc w:val="left"/>
      <w:pPr>
        <w:ind w:left="720" w:hanging="360"/>
      </w:pPr>
      <w:rPr>
        <w:rFonts w:ascii="Symbol" w:hAnsi="Symbol" w:hint="default"/>
        <w:color w:val="2391AD"/>
        <w:sz w:val="24"/>
      </w:rPr>
    </w:lvl>
    <w:lvl w:ilvl="1" w:tplc="307EB712">
      <w:start w:val="1"/>
      <w:numFmt w:val="bullet"/>
      <w:pStyle w:val="ListeDanonebulletnoir"/>
      <w:lvlText w:val=""/>
      <w:lvlJc w:val="left"/>
      <w:pPr>
        <w:ind w:left="1440" w:hanging="360"/>
      </w:pPr>
      <w:rPr>
        <w:rFonts w:ascii="Symbol" w:hAnsi="Symbol" w:hint="default"/>
      </w:rPr>
    </w:lvl>
    <w:lvl w:ilvl="2" w:tplc="C9BE1070" w:tentative="1">
      <w:start w:val="1"/>
      <w:numFmt w:val="bullet"/>
      <w:lvlText w:val=""/>
      <w:lvlJc w:val="left"/>
      <w:pPr>
        <w:ind w:left="2160" w:hanging="360"/>
      </w:pPr>
      <w:rPr>
        <w:rFonts w:ascii="Wingdings" w:hAnsi="Wingdings" w:hint="default"/>
      </w:rPr>
    </w:lvl>
    <w:lvl w:ilvl="3" w:tplc="E23A5C74" w:tentative="1">
      <w:start w:val="1"/>
      <w:numFmt w:val="bullet"/>
      <w:lvlText w:val=""/>
      <w:lvlJc w:val="left"/>
      <w:pPr>
        <w:ind w:left="2880" w:hanging="360"/>
      </w:pPr>
      <w:rPr>
        <w:rFonts w:ascii="Symbol" w:hAnsi="Symbol" w:hint="default"/>
      </w:rPr>
    </w:lvl>
    <w:lvl w:ilvl="4" w:tplc="4050B4EC" w:tentative="1">
      <w:start w:val="1"/>
      <w:numFmt w:val="bullet"/>
      <w:lvlText w:val="o"/>
      <w:lvlJc w:val="left"/>
      <w:pPr>
        <w:ind w:left="3600" w:hanging="360"/>
      </w:pPr>
      <w:rPr>
        <w:rFonts w:ascii="Courier New" w:hAnsi="Courier New" w:hint="default"/>
      </w:rPr>
    </w:lvl>
    <w:lvl w:ilvl="5" w:tplc="545239F4" w:tentative="1">
      <w:start w:val="1"/>
      <w:numFmt w:val="bullet"/>
      <w:lvlText w:val=""/>
      <w:lvlJc w:val="left"/>
      <w:pPr>
        <w:ind w:left="4320" w:hanging="360"/>
      </w:pPr>
      <w:rPr>
        <w:rFonts w:ascii="Wingdings" w:hAnsi="Wingdings" w:hint="default"/>
      </w:rPr>
    </w:lvl>
    <w:lvl w:ilvl="6" w:tplc="CD5E3966" w:tentative="1">
      <w:start w:val="1"/>
      <w:numFmt w:val="bullet"/>
      <w:lvlText w:val=""/>
      <w:lvlJc w:val="left"/>
      <w:pPr>
        <w:ind w:left="5040" w:hanging="360"/>
      </w:pPr>
      <w:rPr>
        <w:rFonts w:ascii="Symbol" w:hAnsi="Symbol" w:hint="default"/>
      </w:rPr>
    </w:lvl>
    <w:lvl w:ilvl="7" w:tplc="5E6CBE52" w:tentative="1">
      <w:start w:val="1"/>
      <w:numFmt w:val="bullet"/>
      <w:lvlText w:val="o"/>
      <w:lvlJc w:val="left"/>
      <w:pPr>
        <w:ind w:left="5760" w:hanging="360"/>
      </w:pPr>
      <w:rPr>
        <w:rFonts w:ascii="Courier New" w:hAnsi="Courier New" w:hint="default"/>
      </w:rPr>
    </w:lvl>
    <w:lvl w:ilvl="8" w:tplc="EC02B932" w:tentative="1">
      <w:start w:val="1"/>
      <w:numFmt w:val="bullet"/>
      <w:lvlText w:val=""/>
      <w:lvlJc w:val="left"/>
      <w:pPr>
        <w:ind w:left="6480" w:hanging="360"/>
      </w:pPr>
      <w:rPr>
        <w:rFonts w:ascii="Wingdings" w:hAnsi="Wingdings" w:hint="default"/>
      </w:rPr>
    </w:lvl>
  </w:abstractNum>
  <w:abstractNum w:abstractNumId="8" w15:restartNumberingAfterBreak="0">
    <w:nsid w:val="779D27C3"/>
    <w:multiLevelType w:val="hybridMultilevel"/>
    <w:tmpl w:val="840E6C14"/>
    <w:lvl w:ilvl="0" w:tplc="4B1288C0">
      <w:start w:val="1"/>
      <w:numFmt w:val="bullet"/>
      <w:pStyle w:val="ListeDanone"/>
      <w:lvlText w:val=""/>
      <w:lvlJc w:val="left"/>
      <w:pPr>
        <w:ind w:left="720" w:hanging="360"/>
      </w:pPr>
      <w:rPr>
        <w:rFonts w:ascii="Symbol" w:hAnsi="Symbol" w:hint="default"/>
        <w:color w:val="2391AD"/>
        <w:sz w:val="24"/>
      </w:rPr>
    </w:lvl>
    <w:lvl w:ilvl="1" w:tplc="C7AC9D8C">
      <w:start w:val="1"/>
      <w:numFmt w:val="bullet"/>
      <w:lvlText w:val="o"/>
      <w:lvlJc w:val="left"/>
      <w:pPr>
        <w:ind w:left="1440" w:hanging="360"/>
      </w:pPr>
      <w:rPr>
        <w:rFonts w:ascii="Courier New" w:hAnsi="Courier New" w:hint="default"/>
      </w:rPr>
    </w:lvl>
    <w:lvl w:ilvl="2" w:tplc="6AD27E0A" w:tentative="1">
      <w:start w:val="1"/>
      <w:numFmt w:val="bullet"/>
      <w:lvlText w:val=""/>
      <w:lvlJc w:val="left"/>
      <w:pPr>
        <w:ind w:left="2160" w:hanging="360"/>
      </w:pPr>
      <w:rPr>
        <w:rFonts w:ascii="Wingdings" w:hAnsi="Wingdings" w:hint="default"/>
      </w:rPr>
    </w:lvl>
    <w:lvl w:ilvl="3" w:tplc="DAF69FDA" w:tentative="1">
      <w:start w:val="1"/>
      <w:numFmt w:val="bullet"/>
      <w:lvlText w:val=""/>
      <w:lvlJc w:val="left"/>
      <w:pPr>
        <w:ind w:left="2880" w:hanging="360"/>
      </w:pPr>
      <w:rPr>
        <w:rFonts w:ascii="Symbol" w:hAnsi="Symbol" w:hint="default"/>
      </w:rPr>
    </w:lvl>
    <w:lvl w:ilvl="4" w:tplc="EB14E930" w:tentative="1">
      <w:start w:val="1"/>
      <w:numFmt w:val="bullet"/>
      <w:lvlText w:val="o"/>
      <w:lvlJc w:val="left"/>
      <w:pPr>
        <w:ind w:left="3600" w:hanging="360"/>
      </w:pPr>
      <w:rPr>
        <w:rFonts w:ascii="Courier New" w:hAnsi="Courier New" w:hint="default"/>
      </w:rPr>
    </w:lvl>
    <w:lvl w:ilvl="5" w:tplc="7ACA10BA" w:tentative="1">
      <w:start w:val="1"/>
      <w:numFmt w:val="bullet"/>
      <w:lvlText w:val=""/>
      <w:lvlJc w:val="left"/>
      <w:pPr>
        <w:ind w:left="4320" w:hanging="360"/>
      </w:pPr>
      <w:rPr>
        <w:rFonts w:ascii="Wingdings" w:hAnsi="Wingdings" w:hint="default"/>
      </w:rPr>
    </w:lvl>
    <w:lvl w:ilvl="6" w:tplc="273A5E9C" w:tentative="1">
      <w:start w:val="1"/>
      <w:numFmt w:val="bullet"/>
      <w:lvlText w:val=""/>
      <w:lvlJc w:val="left"/>
      <w:pPr>
        <w:ind w:left="5040" w:hanging="360"/>
      </w:pPr>
      <w:rPr>
        <w:rFonts w:ascii="Symbol" w:hAnsi="Symbol" w:hint="default"/>
      </w:rPr>
    </w:lvl>
    <w:lvl w:ilvl="7" w:tplc="183052CE" w:tentative="1">
      <w:start w:val="1"/>
      <w:numFmt w:val="bullet"/>
      <w:lvlText w:val="o"/>
      <w:lvlJc w:val="left"/>
      <w:pPr>
        <w:ind w:left="5760" w:hanging="360"/>
      </w:pPr>
      <w:rPr>
        <w:rFonts w:ascii="Courier New" w:hAnsi="Courier New" w:hint="default"/>
      </w:rPr>
    </w:lvl>
    <w:lvl w:ilvl="8" w:tplc="027CC4F6"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36"/>
    <w:rsid w:val="00020F58"/>
    <w:rsid w:val="00024CD1"/>
    <w:rsid w:val="000273C7"/>
    <w:rsid w:val="000443CA"/>
    <w:rsid w:val="00056D5F"/>
    <w:rsid w:val="000602D8"/>
    <w:rsid w:val="00070F37"/>
    <w:rsid w:val="00077C47"/>
    <w:rsid w:val="000831C8"/>
    <w:rsid w:val="00091BE2"/>
    <w:rsid w:val="000A1968"/>
    <w:rsid w:val="000A2827"/>
    <w:rsid w:val="000A3A18"/>
    <w:rsid w:val="000B3DCA"/>
    <w:rsid w:val="000C5A37"/>
    <w:rsid w:val="000D07A5"/>
    <w:rsid w:val="000D41C0"/>
    <w:rsid w:val="000D4434"/>
    <w:rsid w:val="000E2066"/>
    <w:rsid w:val="000E56B3"/>
    <w:rsid w:val="000E6360"/>
    <w:rsid w:val="00103D36"/>
    <w:rsid w:val="001108F9"/>
    <w:rsid w:val="00110F6A"/>
    <w:rsid w:val="00112A31"/>
    <w:rsid w:val="00117D3B"/>
    <w:rsid w:val="00123691"/>
    <w:rsid w:val="00144050"/>
    <w:rsid w:val="00146EC2"/>
    <w:rsid w:val="00151301"/>
    <w:rsid w:val="00152031"/>
    <w:rsid w:val="00155D02"/>
    <w:rsid w:val="001613A0"/>
    <w:rsid w:val="00190593"/>
    <w:rsid w:val="00196501"/>
    <w:rsid w:val="001A0F5D"/>
    <w:rsid w:val="001A394E"/>
    <w:rsid w:val="001B68D4"/>
    <w:rsid w:val="001C02DB"/>
    <w:rsid w:val="001C1878"/>
    <w:rsid w:val="001C36A7"/>
    <w:rsid w:val="001E01BA"/>
    <w:rsid w:val="001E7EDC"/>
    <w:rsid w:val="00203626"/>
    <w:rsid w:val="002225AC"/>
    <w:rsid w:val="00230640"/>
    <w:rsid w:val="00233030"/>
    <w:rsid w:val="0023799A"/>
    <w:rsid w:val="00272085"/>
    <w:rsid w:val="002919BE"/>
    <w:rsid w:val="00291D49"/>
    <w:rsid w:val="00297B88"/>
    <w:rsid w:val="002A3485"/>
    <w:rsid w:val="002A6DCD"/>
    <w:rsid w:val="002C2C07"/>
    <w:rsid w:val="002C6A37"/>
    <w:rsid w:val="002C795C"/>
    <w:rsid w:val="002D6E5C"/>
    <w:rsid w:val="002E3F8B"/>
    <w:rsid w:val="002F50C1"/>
    <w:rsid w:val="002F54E3"/>
    <w:rsid w:val="002F7DF9"/>
    <w:rsid w:val="0031069E"/>
    <w:rsid w:val="0031442F"/>
    <w:rsid w:val="003159B4"/>
    <w:rsid w:val="003173BB"/>
    <w:rsid w:val="00321E63"/>
    <w:rsid w:val="00327242"/>
    <w:rsid w:val="003332ED"/>
    <w:rsid w:val="003358BB"/>
    <w:rsid w:val="00337F83"/>
    <w:rsid w:val="00354469"/>
    <w:rsid w:val="00361719"/>
    <w:rsid w:val="00361A84"/>
    <w:rsid w:val="00373CD3"/>
    <w:rsid w:val="0038114D"/>
    <w:rsid w:val="0038238E"/>
    <w:rsid w:val="003862F9"/>
    <w:rsid w:val="00396539"/>
    <w:rsid w:val="003971E5"/>
    <w:rsid w:val="003A7D6E"/>
    <w:rsid w:val="003B0235"/>
    <w:rsid w:val="003B4FB3"/>
    <w:rsid w:val="003B7B03"/>
    <w:rsid w:val="003C512D"/>
    <w:rsid w:val="003C601C"/>
    <w:rsid w:val="003D3E33"/>
    <w:rsid w:val="003D7937"/>
    <w:rsid w:val="003F0547"/>
    <w:rsid w:val="003F3BEF"/>
    <w:rsid w:val="003F645B"/>
    <w:rsid w:val="004055A2"/>
    <w:rsid w:val="00406395"/>
    <w:rsid w:val="00422492"/>
    <w:rsid w:val="004361AB"/>
    <w:rsid w:val="00442384"/>
    <w:rsid w:val="00443B78"/>
    <w:rsid w:val="004511FB"/>
    <w:rsid w:val="00452A55"/>
    <w:rsid w:val="00455731"/>
    <w:rsid w:val="00483BB8"/>
    <w:rsid w:val="004915D5"/>
    <w:rsid w:val="00493A5E"/>
    <w:rsid w:val="00495933"/>
    <w:rsid w:val="00495E9A"/>
    <w:rsid w:val="004A04E1"/>
    <w:rsid w:val="004A065C"/>
    <w:rsid w:val="004A36FC"/>
    <w:rsid w:val="004B022A"/>
    <w:rsid w:val="004B65BC"/>
    <w:rsid w:val="004C3126"/>
    <w:rsid w:val="004C5481"/>
    <w:rsid w:val="004E339F"/>
    <w:rsid w:val="004F5903"/>
    <w:rsid w:val="00504CAB"/>
    <w:rsid w:val="00516FBF"/>
    <w:rsid w:val="00517A1F"/>
    <w:rsid w:val="005225B1"/>
    <w:rsid w:val="00527D38"/>
    <w:rsid w:val="005451B9"/>
    <w:rsid w:val="0055404C"/>
    <w:rsid w:val="00561679"/>
    <w:rsid w:val="00591779"/>
    <w:rsid w:val="00592383"/>
    <w:rsid w:val="0059317A"/>
    <w:rsid w:val="005A2EE6"/>
    <w:rsid w:val="005A6629"/>
    <w:rsid w:val="005B38CE"/>
    <w:rsid w:val="005C7A19"/>
    <w:rsid w:val="005E051F"/>
    <w:rsid w:val="005E4854"/>
    <w:rsid w:val="005E5835"/>
    <w:rsid w:val="005E6662"/>
    <w:rsid w:val="005F0764"/>
    <w:rsid w:val="005F6756"/>
    <w:rsid w:val="00605471"/>
    <w:rsid w:val="00612765"/>
    <w:rsid w:val="00612AA9"/>
    <w:rsid w:val="006230EA"/>
    <w:rsid w:val="006330CF"/>
    <w:rsid w:val="0064179B"/>
    <w:rsid w:val="006516C7"/>
    <w:rsid w:val="006605D8"/>
    <w:rsid w:val="00664BE1"/>
    <w:rsid w:val="00670CDB"/>
    <w:rsid w:val="006717EF"/>
    <w:rsid w:val="006747EC"/>
    <w:rsid w:val="00674F8F"/>
    <w:rsid w:val="00684C7C"/>
    <w:rsid w:val="00686A1C"/>
    <w:rsid w:val="00687035"/>
    <w:rsid w:val="006A0E48"/>
    <w:rsid w:val="006C10BF"/>
    <w:rsid w:val="006D1CD4"/>
    <w:rsid w:val="006E1BC5"/>
    <w:rsid w:val="00704E33"/>
    <w:rsid w:val="00705A8B"/>
    <w:rsid w:val="0072201F"/>
    <w:rsid w:val="007231B0"/>
    <w:rsid w:val="00726EAA"/>
    <w:rsid w:val="00732125"/>
    <w:rsid w:val="00742575"/>
    <w:rsid w:val="00754FF7"/>
    <w:rsid w:val="00767C85"/>
    <w:rsid w:val="0078664E"/>
    <w:rsid w:val="00794131"/>
    <w:rsid w:val="007A26D0"/>
    <w:rsid w:val="007A7AAA"/>
    <w:rsid w:val="007B5C9F"/>
    <w:rsid w:val="007B5D35"/>
    <w:rsid w:val="007C1CD5"/>
    <w:rsid w:val="007D01C5"/>
    <w:rsid w:val="007D040A"/>
    <w:rsid w:val="007E13B1"/>
    <w:rsid w:val="007E4B14"/>
    <w:rsid w:val="007F7659"/>
    <w:rsid w:val="0080703A"/>
    <w:rsid w:val="008219B0"/>
    <w:rsid w:val="008219E4"/>
    <w:rsid w:val="00821E97"/>
    <w:rsid w:val="0082479C"/>
    <w:rsid w:val="00830CBA"/>
    <w:rsid w:val="00830CEC"/>
    <w:rsid w:val="008359E0"/>
    <w:rsid w:val="008428BF"/>
    <w:rsid w:val="00857445"/>
    <w:rsid w:val="00865F8A"/>
    <w:rsid w:val="008661A7"/>
    <w:rsid w:val="0087666F"/>
    <w:rsid w:val="0087777A"/>
    <w:rsid w:val="00891A20"/>
    <w:rsid w:val="008B338F"/>
    <w:rsid w:val="008C767E"/>
    <w:rsid w:val="008D25C8"/>
    <w:rsid w:val="008F0EDE"/>
    <w:rsid w:val="008F5E78"/>
    <w:rsid w:val="009016AA"/>
    <w:rsid w:val="00916B9E"/>
    <w:rsid w:val="00922050"/>
    <w:rsid w:val="0092758A"/>
    <w:rsid w:val="00932F51"/>
    <w:rsid w:val="00934413"/>
    <w:rsid w:val="009349CB"/>
    <w:rsid w:val="00935A18"/>
    <w:rsid w:val="00937B25"/>
    <w:rsid w:val="0094177A"/>
    <w:rsid w:val="00952B90"/>
    <w:rsid w:val="00954464"/>
    <w:rsid w:val="00972FB3"/>
    <w:rsid w:val="00976E9E"/>
    <w:rsid w:val="00984056"/>
    <w:rsid w:val="00985ECB"/>
    <w:rsid w:val="009D16EA"/>
    <w:rsid w:val="009E71FE"/>
    <w:rsid w:val="00A0517E"/>
    <w:rsid w:val="00A070A7"/>
    <w:rsid w:val="00A133ED"/>
    <w:rsid w:val="00A25A82"/>
    <w:rsid w:val="00A46600"/>
    <w:rsid w:val="00A50548"/>
    <w:rsid w:val="00A6175A"/>
    <w:rsid w:val="00A672B8"/>
    <w:rsid w:val="00A765EE"/>
    <w:rsid w:val="00A806EB"/>
    <w:rsid w:val="00A86FA5"/>
    <w:rsid w:val="00A91E81"/>
    <w:rsid w:val="00A942C8"/>
    <w:rsid w:val="00AB21B6"/>
    <w:rsid w:val="00AB5B8B"/>
    <w:rsid w:val="00AC0C47"/>
    <w:rsid w:val="00AC354C"/>
    <w:rsid w:val="00AC4C29"/>
    <w:rsid w:val="00AC55B9"/>
    <w:rsid w:val="00AD578B"/>
    <w:rsid w:val="00AD73F8"/>
    <w:rsid w:val="00AE075C"/>
    <w:rsid w:val="00B179BF"/>
    <w:rsid w:val="00B24F5D"/>
    <w:rsid w:val="00B304D2"/>
    <w:rsid w:val="00B32D52"/>
    <w:rsid w:val="00B34675"/>
    <w:rsid w:val="00B41F2F"/>
    <w:rsid w:val="00B42CF4"/>
    <w:rsid w:val="00B459F0"/>
    <w:rsid w:val="00B52C6D"/>
    <w:rsid w:val="00B6273F"/>
    <w:rsid w:val="00B6329A"/>
    <w:rsid w:val="00B70D3D"/>
    <w:rsid w:val="00B747DB"/>
    <w:rsid w:val="00B7714F"/>
    <w:rsid w:val="00B91457"/>
    <w:rsid w:val="00B931EC"/>
    <w:rsid w:val="00BB56D6"/>
    <w:rsid w:val="00BC25F9"/>
    <w:rsid w:val="00BC389E"/>
    <w:rsid w:val="00BC7AD4"/>
    <w:rsid w:val="00BD385A"/>
    <w:rsid w:val="00BE0F5D"/>
    <w:rsid w:val="00BE2868"/>
    <w:rsid w:val="00BF1422"/>
    <w:rsid w:val="00C027B2"/>
    <w:rsid w:val="00C07FD1"/>
    <w:rsid w:val="00C40E3E"/>
    <w:rsid w:val="00C46F18"/>
    <w:rsid w:val="00C4787A"/>
    <w:rsid w:val="00C57086"/>
    <w:rsid w:val="00C61566"/>
    <w:rsid w:val="00C663CE"/>
    <w:rsid w:val="00C702FD"/>
    <w:rsid w:val="00C73752"/>
    <w:rsid w:val="00C74F79"/>
    <w:rsid w:val="00C764D6"/>
    <w:rsid w:val="00C97104"/>
    <w:rsid w:val="00CA184B"/>
    <w:rsid w:val="00CA34AF"/>
    <w:rsid w:val="00CB4BDD"/>
    <w:rsid w:val="00CC3BC3"/>
    <w:rsid w:val="00CD28CC"/>
    <w:rsid w:val="00CD6041"/>
    <w:rsid w:val="00CE0B08"/>
    <w:rsid w:val="00CF6C9F"/>
    <w:rsid w:val="00D14A24"/>
    <w:rsid w:val="00D20CF2"/>
    <w:rsid w:val="00D23895"/>
    <w:rsid w:val="00D40B91"/>
    <w:rsid w:val="00D46683"/>
    <w:rsid w:val="00D54087"/>
    <w:rsid w:val="00D54D9B"/>
    <w:rsid w:val="00D56ED0"/>
    <w:rsid w:val="00D625C7"/>
    <w:rsid w:val="00D6722B"/>
    <w:rsid w:val="00D74240"/>
    <w:rsid w:val="00DA48D8"/>
    <w:rsid w:val="00DA5EF0"/>
    <w:rsid w:val="00DB1A87"/>
    <w:rsid w:val="00DB366B"/>
    <w:rsid w:val="00DB6EBD"/>
    <w:rsid w:val="00DC5ABA"/>
    <w:rsid w:val="00DC6A19"/>
    <w:rsid w:val="00DD0B40"/>
    <w:rsid w:val="00DD1516"/>
    <w:rsid w:val="00DE4A2B"/>
    <w:rsid w:val="00DE7562"/>
    <w:rsid w:val="00DF071E"/>
    <w:rsid w:val="00E01646"/>
    <w:rsid w:val="00E02793"/>
    <w:rsid w:val="00E03C3B"/>
    <w:rsid w:val="00E06266"/>
    <w:rsid w:val="00E13436"/>
    <w:rsid w:val="00E1421A"/>
    <w:rsid w:val="00E1530B"/>
    <w:rsid w:val="00E17E62"/>
    <w:rsid w:val="00E25864"/>
    <w:rsid w:val="00E44F87"/>
    <w:rsid w:val="00E50657"/>
    <w:rsid w:val="00E53EB4"/>
    <w:rsid w:val="00E5476A"/>
    <w:rsid w:val="00E563A7"/>
    <w:rsid w:val="00E7419C"/>
    <w:rsid w:val="00E83376"/>
    <w:rsid w:val="00E94373"/>
    <w:rsid w:val="00EB16E0"/>
    <w:rsid w:val="00EB71CA"/>
    <w:rsid w:val="00EC0DD8"/>
    <w:rsid w:val="00ED0C34"/>
    <w:rsid w:val="00EE3C96"/>
    <w:rsid w:val="00EE7404"/>
    <w:rsid w:val="00EF02BD"/>
    <w:rsid w:val="00EF2FD2"/>
    <w:rsid w:val="00EF660E"/>
    <w:rsid w:val="00EF7372"/>
    <w:rsid w:val="00F04C55"/>
    <w:rsid w:val="00F04C79"/>
    <w:rsid w:val="00F05218"/>
    <w:rsid w:val="00F114FB"/>
    <w:rsid w:val="00F15A06"/>
    <w:rsid w:val="00F258F7"/>
    <w:rsid w:val="00F30F36"/>
    <w:rsid w:val="00F50A0E"/>
    <w:rsid w:val="00F5715B"/>
    <w:rsid w:val="00F6438B"/>
    <w:rsid w:val="00F70CA2"/>
    <w:rsid w:val="00F712B1"/>
    <w:rsid w:val="00F7227F"/>
    <w:rsid w:val="00F73AE1"/>
    <w:rsid w:val="00F7486E"/>
    <w:rsid w:val="00F74927"/>
    <w:rsid w:val="00F94C69"/>
    <w:rsid w:val="00FA07AE"/>
    <w:rsid w:val="00FA2F08"/>
    <w:rsid w:val="00FA60CE"/>
    <w:rsid w:val="00FB5051"/>
    <w:rsid w:val="00FD6478"/>
    <w:rsid w:val="00FE3747"/>
    <w:rsid w:val="00FF0B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49A14"/>
  <w15:docId w15:val="{7D04455F-1119-43FD-865B-DE3E02E3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36"/>
    <w:pPr>
      <w:spacing w:after="120" w:line="200" w:lineRule="atLeast"/>
      <w:jc w:val="both"/>
    </w:pPr>
    <w:rPr>
      <w:rFonts w:ascii="Arial" w:eastAsia="Times New Roman" w:hAnsi="Arial" w:cs="Times New Roman"/>
      <w:sz w:val="16"/>
      <w:szCs w:val="16"/>
    </w:rPr>
  </w:style>
  <w:style w:type="paragraph" w:styleId="Titre3">
    <w:name w:val="heading 3"/>
    <w:basedOn w:val="Normal"/>
    <w:next w:val="Normal"/>
    <w:link w:val="Titre3Car"/>
    <w:uiPriority w:val="9"/>
    <w:unhideWhenUsed/>
    <w:qFormat/>
    <w:rsid w:val="003D7937"/>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13436"/>
    <w:pPr>
      <w:spacing w:after="120" w:line="200" w:lineRule="atLeast"/>
      <w:jc w:val="both"/>
    </w:pPr>
    <w:rPr>
      <w:rFonts w:ascii="Arial" w:eastAsia="Times New Roman" w:hAnsi="Arial"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anone">
    <w:name w:val="Normal_Danone"/>
    <w:link w:val="NormalDanoneCar"/>
    <w:qFormat/>
    <w:rsid w:val="00E13436"/>
    <w:pPr>
      <w:spacing w:after="120" w:line="200" w:lineRule="atLeast"/>
      <w:jc w:val="both"/>
    </w:pPr>
    <w:rPr>
      <w:rFonts w:ascii="Arial" w:eastAsia="Times New Roman" w:hAnsi="Arial" w:cs="Times New Roman"/>
      <w:color w:val="000000" w:themeColor="text1"/>
      <w:sz w:val="16"/>
      <w:szCs w:val="16"/>
    </w:rPr>
  </w:style>
  <w:style w:type="character" w:customStyle="1" w:styleId="NormalDanoneCar">
    <w:name w:val="Normal_Danone Car"/>
    <w:basedOn w:val="Policepardfaut"/>
    <w:link w:val="NormalDanone"/>
    <w:rsid w:val="00E13436"/>
    <w:rPr>
      <w:rFonts w:ascii="Arial" w:eastAsia="Times New Roman" w:hAnsi="Arial" w:cs="Times New Roman"/>
      <w:color w:val="000000" w:themeColor="text1"/>
      <w:sz w:val="16"/>
      <w:szCs w:val="16"/>
      <w:lang w:eastAsia="en-GB"/>
    </w:rPr>
  </w:style>
  <w:style w:type="paragraph" w:customStyle="1" w:styleId="Titre2Danone">
    <w:name w:val="Titre2_Danone"/>
    <w:next w:val="NormalDanone"/>
    <w:link w:val="Titre2DanoneCar"/>
    <w:qFormat/>
    <w:rsid w:val="00E13436"/>
    <w:pPr>
      <w:keepNext/>
      <w:keepLines/>
      <w:pBdr>
        <w:bottom w:val="single" w:sz="4" w:space="1" w:color="31849B"/>
      </w:pBdr>
      <w:spacing w:before="200" w:after="100" w:line="240" w:lineRule="auto"/>
      <w:outlineLvl w:val="1"/>
    </w:pPr>
    <w:rPr>
      <w:rFonts w:ascii="Arial" w:eastAsia="Times New Roman" w:hAnsi="Arial" w:cs="Times New Roman"/>
      <w:b/>
      <w:bCs/>
      <w:color w:val="238FAD"/>
      <w:sz w:val="40"/>
      <w:szCs w:val="26"/>
    </w:rPr>
  </w:style>
  <w:style w:type="paragraph" w:customStyle="1" w:styleId="Titre3Danone">
    <w:name w:val="Titre3_Danone"/>
    <w:next w:val="NormalDanone"/>
    <w:link w:val="Titre3DanoneCar"/>
    <w:qFormat/>
    <w:rsid w:val="00E13436"/>
    <w:pPr>
      <w:keepNext/>
      <w:keepLines/>
      <w:spacing w:before="200" w:after="100" w:line="240" w:lineRule="auto"/>
      <w:outlineLvl w:val="2"/>
    </w:pPr>
    <w:rPr>
      <w:rFonts w:ascii="Arial" w:eastAsia="Times New Roman" w:hAnsi="Arial" w:cs="Times New Roman"/>
      <w:b/>
      <w:iCs/>
      <w:color w:val="31849B"/>
      <w:sz w:val="24"/>
      <w:szCs w:val="24"/>
    </w:rPr>
  </w:style>
  <w:style w:type="character" w:customStyle="1" w:styleId="Titre2DanoneCar">
    <w:name w:val="Titre2_Danone Car"/>
    <w:basedOn w:val="Policepardfaut"/>
    <w:link w:val="Titre2Danone"/>
    <w:rsid w:val="00E13436"/>
    <w:rPr>
      <w:rFonts w:ascii="Arial" w:eastAsia="Times New Roman" w:hAnsi="Arial" w:cs="Times New Roman"/>
      <w:b/>
      <w:bCs/>
      <w:color w:val="238FAD"/>
      <w:sz w:val="40"/>
      <w:szCs w:val="26"/>
      <w:lang w:eastAsia="en-GB"/>
    </w:rPr>
  </w:style>
  <w:style w:type="character" w:customStyle="1" w:styleId="Titre3DanoneCar">
    <w:name w:val="Titre3_Danone Car"/>
    <w:basedOn w:val="Policepardfaut"/>
    <w:link w:val="Titre3Danone"/>
    <w:rsid w:val="00E13436"/>
    <w:rPr>
      <w:rFonts w:ascii="Arial" w:eastAsia="Times New Roman" w:hAnsi="Arial" w:cs="Times New Roman"/>
      <w:b/>
      <w:iCs/>
      <w:color w:val="31849B"/>
      <w:sz w:val="24"/>
      <w:szCs w:val="24"/>
      <w:lang w:eastAsia="en-GB"/>
    </w:rPr>
  </w:style>
  <w:style w:type="paragraph" w:customStyle="1" w:styleId="Titre5Danone">
    <w:name w:val="Titre5_Danone"/>
    <w:next w:val="NormalDanone"/>
    <w:link w:val="Titre5DanoneCar"/>
    <w:qFormat/>
    <w:rsid w:val="00E13436"/>
    <w:pPr>
      <w:keepNext/>
      <w:spacing w:before="240" w:after="120" w:line="200" w:lineRule="atLeast"/>
      <w:outlineLvl w:val="4"/>
    </w:pPr>
    <w:rPr>
      <w:rFonts w:ascii="Arial" w:eastAsia="Times New Roman" w:hAnsi="Arial" w:cs="Arial"/>
      <w:b/>
      <w:bCs/>
      <w:iCs/>
      <w:color w:val="31849B"/>
      <w:sz w:val="20"/>
      <w:szCs w:val="20"/>
    </w:rPr>
  </w:style>
  <w:style w:type="character" w:customStyle="1" w:styleId="Titre5DanoneCar">
    <w:name w:val="Titre5_Danone Car"/>
    <w:basedOn w:val="Policepardfaut"/>
    <w:link w:val="Titre5Danone"/>
    <w:rsid w:val="00E13436"/>
    <w:rPr>
      <w:rFonts w:ascii="Arial" w:eastAsia="Times New Roman" w:hAnsi="Arial" w:cs="Arial"/>
      <w:b/>
      <w:bCs/>
      <w:iCs/>
      <w:color w:val="31849B"/>
      <w:sz w:val="20"/>
      <w:szCs w:val="20"/>
      <w:lang w:eastAsia="en-GB"/>
    </w:rPr>
  </w:style>
  <w:style w:type="paragraph" w:customStyle="1" w:styleId="ListeDanone">
    <w:name w:val="Liste_Danone"/>
    <w:link w:val="ListeDanoneCar"/>
    <w:qFormat/>
    <w:rsid w:val="00E13436"/>
    <w:pPr>
      <w:numPr>
        <w:numId w:val="1"/>
      </w:numPr>
      <w:spacing w:after="120" w:line="200" w:lineRule="atLeast"/>
      <w:ind w:left="714" w:hanging="357"/>
      <w:contextualSpacing/>
      <w:jc w:val="both"/>
    </w:pPr>
    <w:rPr>
      <w:rFonts w:ascii="Arial" w:eastAsia="Times New Roman" w:hAnsi="Arial" w:cs="Arial"/>
      <w:color w:val="000000" w:themeColor="text1"/>
      <w:sz w:val="16"/>
      <w:szCs w:val="24"/>
    </w:rPr>
  </w:style>
  <w:style w:type="character" w:customStyle="1" w:styleId="ListeDanoneCar">
    <w:name w:val="Liste_Danone Car"/>
    <w:basedOn w:val="Policepardfaut"/>
    <w:link w:val="ListeDanone"/>
    <w:rsid w:val="00E13436"/>
    <w:rPr>
      <w:rFonts w:ascii="Arial" w:eastAsia="Times New Roman" w:hAnsi="Arial" w:cs="Arial"/>
      <w:color w:val="000000" w:themeColor="text1"/>
      <w:sz w:val="16"/>
      <w:szCs w:val="24"/>
      <w:lang w:eastAsia="en-GB"/>
    </w:rPr>
  </w:style>
  <w:style w:type="paragraph" w:customStyle="1" w:styleId="ListeDanonebulletnoir">
    <w:name w:val="Liste_Danone_bullet_noir"/>
    <w:link w:val="ListeDanonebulletnoirCar"/>
    <w:qFormat/>
    <w:rsid w:val="00E13436"/>
    <w:pPr>
      <w:numPr>
        <w:ilvl w:val="1"/>
        <w:numId w:val="2"/>
      </w:numPr>
      <w:spacing w:after="0" w:line="200" w:lineRule="atLeast"/>
      <w:ind w:left="1434" w:hanging="357"/>
    </w:pPr>
    <w:rPr>
      <w:rFonts w:ascii="Arial" w:eastAsia="Times New Roman" w:hAnsi="Arial" w:cs="Times New Roman"/>
      <w:color w:val="000000" w:themeColor="text1"/>
      <w:sz w:val="16"/>
      <w:szCs w:val="16"/>
    </w:rPr>
  </w:style>
  <w:style w:type="character" w:customStyle="1" w:styleId="ListeDanonebulletnoirCar">
    <w:name w:val="Liste_Danone_bullet_noir Car"/>
    <w:basedOn w:val="ListeDanoneCar"/>
    <w:link w:val="ListeDanonebulletnoir"/>
    <w:rsid w:val="00E13436"/>
    <w:rPr>
      <w:rFonts w:ascii="Arial" w:eastAsia="Times New Roman" w:hAnsi="Arial" w:cs="Times New Roman"/>
      <w:color w:val="000000" w:themeColor="text1"/>
      <w:sz w:val="16"/>
      <w:szCs w:val="16"/>
      <w:lang w:eastAsia="en-GB"/>
    </w:rPr>
  </w:style>
  <w:style w:type="paragraph" w:customStyle="1" w:styleId="ListeDanonebulletitaliquebleu">
    <w:name w:val="Liste_Danone_bullet_ italique_bleu"/>
    <w:qFormat/>
    <w:rsid w:val="00E13436"/>
    <w:pPr>
      <w:numPr>
        <w:numId w:val="2"/>
      </w:numPr>
      <w:spacing w:after="120" w:line="200" w:lineRule="atLeast"/>
      <w:ind w:left="714" w:hanging="357"/>
      <w:jc w:val="both"/>
    </w:pPr>
    <w:rPr>
      <w:rFonts w:ascii="Arial" w:eastAsia="Times New Roman" w:hAnsi="Arial" w:cs="Arial"/>
      <w:i/>
      <w:color w:val="238FAD"/>
      <w:sz w:val="16"/>
      <w:szCs w:val="24"/>
    </w:rPr>
  </w:style>
  <w:style w:type="character" w:styleId="Marquedecommentaire">
    <w:name w:val="annotation reference"/>
    <w:basedOn w:val="Policepardfaut"/>
    <w:uiPriority w:val="99"/>
    <w:semiHidden/>
    <w:unhideWhenUsed/>
    <w:rsid w:val="004A36FC"/>
    <w:rPr>
      <w:sz w:val="16"/>
      <w:szCs w:val="16"/>
    </w:rPr>
  </w:style>
  <w:style w:type="paragraph" w:styleId="Commentaire">
    <w:name w:val="annotation text"/>
    <w:basedOn w:val="Normal"/>
    <w:link w:val="CommentaireCar"/>
    <w:uiPriority w:val="99"/>
    <w:semiHidden/>
    <w:unhideWhenUsed/>
    <w:rsid w:val="004A36FC"/>
    <w:pPr>
      <w:spacing w:line="240" w:lineRule="auto"/>
    </w:pPr>
    <w:rPr>
      <w:sz w:val="20"/>
      <w:szCs w:val="20"/>
    </w:rPr>
  </w:style>
  <w:style w:type="character" w:customStyle="1" w:styleId="CommentaireCar">
    <w:name w:val="Commentaire Car"/>
    <w:basedOn w:val="Policepardfaut"/>
    <w:link w:val="Commentaire"/>
    <w:uiPriority w:val="99"/>
    <w:semiHidden/>
    <w:rsid w:val="004A36FC"/>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4A36FC"/>
    <w:rPr>
      <w:b/>
      <w:bCs/>
    </w:rPr>
  </w:style>
  <w:style w:type="character" w:customStyle="1" w:styleId="ObjetducommentaireCar">
    <w:name w:val="Objet du commentaire Car"/>
    <w:basedOn w:val="CommentaireCar"/>
    <w:link w:val="Objetducommentaire"/>
    <w:uiPriority w:val="99"/>
    <w:semiHidden/>
    <w:rsid w:val="004A36FC"/>
    <w:rPr>
      <w:rFonts w:ascii="Arial" w:eastAsia="Times New Roman" w:hAnsi="Arial" w:cs="Times New Roman"/>
      <w:b/>
      <w:bCs/>
      <w:sz w:val="20"/>
      <w:szCs w:val="20"/>
    </w:rPr>
  </w:style>
  <w:style w:type="paragraph" w:styleId="Rvision">
    <w:name w:val="Revision"/>
    <w:hidden/>
    <w:uiPriority w:val="99"/>
    <w:semiHidden/>
    <w:rsid w:val="004A36FC"/>
    <w:pPr>
      <w:spacing w:after="0" w:line="240" w:lineRule="auto"/>
    </w:pPr>
    <w:rPr>
      <w:rFonts w:ascii="Arial" w:eastAsia="Times New Roman" w:hAnsi="Arial" w:cs="Times New Roman"/>
      <w:sz w:val="16"/>
      <w:szCs w:val="16"/>
    </w:rPr>
  </w:style>
  <w:style w:type="paragraph" w:styleId="Textedebulles">
    <w:name w:val="Balloon Text"/>
    <w:basedOn w:val="Normal"/>
    <w:link w:val="TextedebullesCar"/>
    <w:uiPriority w:val="99"/>
    <w:semiHidden/>
    <w:unhideWhenUsed/>
    <w:rsid w:val="004A36FC"/>
    <w:pPr>
      <w:spacing w:after="0" w:line="240" w:lineRule="auto"/>
    </w:pPr>
    <w:rPr>
      <w:rFonts w:ascii="Tahoma" w:hAnsi="Tahoma" w:cs="Tahoma"/>
    </w:rPr>
  </w:style>
  <w:style w:type="character" w:customStyle="1" w:styleId="TextedebullesCar">
    <w:name w:val="Texte de bulles Car"/>
    <w:basedOn w:val="Policepardfaut"/>
    <w:link w:val="Textedebulles"/>
    <w:uiPriority w:val="99"/>
    <w:semiHidden/>
    <w:rsid w:val="004A36FC"/>
    <w:rPr>
      <w:rFonts w:ascii="Tahoma" w:eastAsia="Times New Roman" w:hAnsi="Tahoma" w:cs="Tahoma"/>
      <w:sz w:val="16"/>
      <w:szCs w:val="16"/>
    </w:rPr>
  </w:style>
  <w:style w:type="character" w:styleId="Lienhypertexte">
    <w:name w:val="Hyperlink"/>
    <w:basedOn w:val="Policepardfaut"/>
    <w:uiPriority w:val="99"/>
    <w:unhideWhenUsed/>
    <w:rsid w:val="00CA184B"/>
    <w:rPr>
      <w:color w:val="0000FF" w:themeColor="hyperlink"/>
      <w:u w:val="single"/>
    </w:rPr>
  </w:style>
  <w:style w:type="character" w:customStyle="1" w:styleId="Titre3Car">
    <w:name w:val="Titre 3 Car"/>
    <w:basedOn w:val="Policepardfaut"/>
    <w:link w:val="Titre3"/>
    <w:uiPriority w:val="9"/>
    <w:rsid w:val="003D7937"/>
    <w:rPr>
      <w:rFonts w:asciiTheme="majorHAnsi" w:eastAsiaTheme="majorEastAsia" w:hAnsiTheme="majorHAnsi" w:cstheme="majorBidi"/>
      <w:b/>
      <w:bCs/>
      <w:color w:val="4F81BD" w:themeColor="accent1"/>
      <w:lang w:val="fr-FR" w:eastAsia="en-US" w:bidi="ar-SA"/>
    </w:rPr>
  </w:style>
  <w:style w:type="paragraph" w:styleId="En-tte">
    <w:name w:val="header"/>
    <w:basedOn w:val="Normal"/>
    <w:link w:val="En-tteCar"/>
    <w:uiPriority w:val="99"/>
    <w:unhideWhenUsed/>
    <w:rsid w:val="00361719"/>
    <w:pPr>
      <w:tabs>
        <w:tab w:val="center" w:pos="4536"/>
        <w:tab w:val="right" w:pos="9072"/>
      </w:tabs>
      <w:spacing w:after="0" w:line="240" w:lineRule="auto"/>
    </w:pPr>
  </w:style>
  <w:style w:type="character" w:customStyle="1" w:styleId="En-tteCar">
    <w:name w:val="En-tête Car"/>
    <w:basedOn w:val="Policepardfaut"/>
    <w:link w:val="En-tte"/>
    <w:uiPriority w:val="99"/>
    <w:rsid w:val="00361719"/>
    <w:rPr>
      <w:rFonts w:ascii="Arial" w:eastAsia="Times New Roman" w:hAnsi="Arial" w:cs="Times New Roman"/>
      <w:sz w:val="16"/>
      <w:szCs w:val="16"/>
    </w:rPr>
  </w:style>
  <w:style w:type="paragraph" w:styleId="Pieddepage">
    <w:name w:val="footer"/>
    <w:basedOn w:val="Normal"/>
    <w:link w:val="PieddepageCar"/>
    <w:uiPriority w:val="99"/>
    <w:unhideWhenUsed/>
    <w:rsid w:val="00361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719"/>
    <w:rPr>
      <w:rFonts w:ascii="Arial" w:eastAsia="Times New Roman" w:hAnsi="Arial" w:cs="Times New Roman"/>
      <w:sz w:val="16"/>
      <w:szCs w:val="16"/>
    </w:rPr>
  </w:style>
  <w:style w:type="paragraph" w:customStyle="1" w:styleId="Style1">
    <w:name w:val="Style1"/>
    <w:basedOn w:val="Titre2Danone"/>
    <w:link w:val="Style1Car"/>
    <w:qFormat/>
    <w:rsid w:val="000E6360"/>
    <w:pPr>
      <w:pBdr>
        <w:bottom w:val="none" w:sz="0" w:space="0" w:color="auto"/>
      </w:pBdr>
    </w:pPr>
    <w:rPr>
      <w:lang w:val="en-US"/>
    </w:rPr>
  </w:style>
  <w:style w:type="character" w:customStyle="1" w:styleId="Style1Car">
    <w:name w:val="Style1 Car"/>
    <w:basedOn w:val="Titre2DanoneCar"/>
    <w:link w:val="Style1"/>
    <w:rsid w:val="000E6360"/>
    <w:rPr>
      <w:rFonts w:ascii="Arial" w:eastAsia="Times New Roman" w:hAnsi="Arial" w:cs="Times New Roman"/>
      <w:b/>
      <w:bCs/>
      <w:color w:val="238FAD"/>
      <w:sz w:val="40"/>
      <w:szCs w:val="2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3159">
      <w:bodyDiv w:val="1"/>
      <w:marLeft w:val="0"/>
      <w:marRight w:val="0"/>
      <w:marTop w:val="0"/>
      <w:marBottom w:val="0"/>
      <w:divBdr>
        <w:top w:val="none" w:sz="0" w:space="0" w:color="auto"/>
        <w:left w:val="none" w:sz="0" w:space="0" w:color="auto"/>
        <w:bottom w:val="none" w:sz="0" w:space="0" w:color="auto"/>
        <w:right w:val="none" w:sz="0" w:space="0" w:color="auto"/>
      </w:divBdr>
      <w:divsChild>
        <w:div w:id="620457189">
          <w:marLeft w:val="706"/>
          <w:marRight w:val="0"/>
          <w:marTop w:val="60"/>
          <w:marBottom w:val="0"/>
          <w:divBdr>
            <w:top w:val="none" w:sz="0" w:space="0" w:color="auto"/>
            <w:left w:val="none" w:sz="0" w:space="0" w:color="auto"/>
            <w:bottom w:val="none" w:sz="0" w:space="0" w:color="auto"/>
            <w:right w:val="none" w:sz="0" w:space="0" w:color="auto"/>
          </w:divBdr>
        </w:div>
        <w:div w:id="1056472133">
          <w:marLeft w:val="979"/>
          <w:marRight w:val="0"/>
          <w:marTop w:val="0"/>
          <w:marBottom w:val="0"/>
          <w:divBdr>
            <w:top w:val="none" w:sz="0" w:space="0" w:color="auto"/>
            <w:left w:val="none" w:sz="0" w:space="0" w:color="auto"/>
            <w:bottom w:val="none" w:sz="0" w:space="0" w:color="auto"/>
            <w:right w:val="none" w:sz="0" w:space="0" w:color="auto"/>
          </w:divBdr>
        </w:div>
        <w:div w:id="990256304">
          <w:marLeft w:val="979"/>
          <w:marRight w:val="0"/>
          <w:marTop w:val="0"/>
          <w:marBottom w:val="0"/>
          <w:divBdr>
            <w:top w:val="none" w:sz="0" w:space="0" w:color="auto"/>
            <w:left w:val="none" w:sz="0" w:space="0" w:color="auto"/>
            <w:bottom w:val="none" w:sz="0" w:space="0" w:color="auto"/>
            <w:right w:val="none" w:sz="0" w:space="0" w:color="auto"/>
          </w:divBdr>
        </w:div>
        <w:div w:id="563226281">
          <w:marLeft w:val="979"/>
          <w:marRight w:val="0"/>
          <w:marTop w:val="0"/>
          <w:marBottom w:val="0"/>
          <w:divBdr>
            <w:top w:val="none" w:sz="0" w:space="0" w:color="auto"/>
            <w:left w:val="none" w:sz="0" w:space="0" w:color="auto"/>
            <w:bottom w:val="none" w:sz="0" w:space="0" w:color="auto"/>
            <w:right w:val="none" w:sz="0" w:space="0" w:color="auto"/>
          </w:divBdr>
        </w:div>
        <w:div w:id="1597322190">
          <w:marLeft w:val="979"/>
          <w:marRight w:val="0"/>
          <w:marTop w:val="0"/>
          <w:marBottom w:val="0"/>
          <w:divBdr>
            <w:top w:val="none" w:sz="0" w:space="0" w:color="auto"/>
            <w:left w:val="none" w:sz="0" w:space="0" w:color="auto"/>
            <w:bottom w:val="none" w:sz="0" w:space="0" w:color="auto"/>
            <w:right w:val="none" w:sz="0" w:space="0" w:color="auto"/>
          </w:divBdr>
        </w:div>
      </w:divsChild>
    </w:div>
    <w:div w:id="335423154">
      <w:bodyDiv w:val="1"/>
      <w:marLeft w:val="0"/>
      <w:marRight w:val="0"/>
      <w:marTop w:val="0"/>
      <w:marBottom w:val="0"/>
      <w:divBdr>
        <w:top w:val="none" w:sz="0" w:space="0" w:color="auto"/>
        <w:left w:val="none" w:sz="0" w:space="0" w:color="auto"/>
        <w:bottom w:val="none" w:sz="0" w:space="0" w:color="auto"/>
        <w:right w:val="none" w:sz="0" w:space="0" w:color="auto"/>
      </w:divBdr>
      <w:divsChild>
        <w:div w:id="793600331">
          <w:marLeft w:val="864"/>
          <w:marRight w:val="0"/>
          <w:marTop w:val="0"/>
          <w:marBottom w:val="0"/>
          <w:divBdr>
            <w:top w:val="none" w:sz="0" w:space="0" w:color="auto"/>
            <w:left w:val="none" w:sz="0" w:space="0" w:color="auto"/>
            <w:bottom w:val="none" w:sz="0" w:space="0" w:color="auto"/>
            <w:right w:val="none" w:sz="0" w:space="0" w:color="auto"/>
          </w:divBdr>
        </w:div>
      </w:divsChild>
    </w:div>
    <w:div w:id="474564330">
      <w:bodyDiv w:val="1"/>
      <w:marLeft w:val="0"/>
      <w:marRight w:val="0"/>
      <w:marTop w:val="0"/>
      <w:marBottom w:val="0"/>
      <w:divBdr>
        <w:top w:val="none" w:sz="0" w:space="0" w:color="auto"/>
        <w:left w:val="none" w:sz="0" w:space="0" w:color="auto"/>
        <w:bottom w:val="none" w:sz="0" w:space="0" w:color="auto"/>
        <w:right w:val="none" w:sz="0" w:space="0" w:color="auto"/>
      </w:divBdr>
    </w:div>
    <w:div w:id="707099486">
      <w:bodyDiv w:val="1"/>
      <w:marLeft w:val="0"/>
      <w:marRight w:val="0"/>
      <w:marTop w:val="0"/>
      <w:marBottom w:val="0"/>
      <w:divBdr>
        <w:top w:val="none" w:sz="0" w:space="0" w:color="auto"/>
        <w:left w:val="none" w:sz="0" w:space="0" w:color="auto"/>
        <w:bottom w:val="none" w:sz="0" w:space="0" w:color="auto"/>
        <w:right w:val="none" w:sz="0" w:space="0" w:color="auto"/>
      </w:divBdr>
      <w:divsChild>
        <w:div w:id="711075397">
          <w:marLeft w:val="706"/>
          <w:marRight w:val="0"/>
          <w:marTop w:val="60"/>
          <w:marBottom w:val="0"/>
          <w:divBdr>
            <w:top w:val="none" w:sz="0" w:space="0" w:color="auto"/>
            <w:left w:val="none" w:sz="0" w:space="0" w:color="auto"/>
            <w:bottom w:val="none" w:sz="0" w:space="0" w:color="auto"/>
            <w:right w:val="none" w:sz="0" w:space="0" w:color="auto"/>
          </w:divBdr>
        </w:div>
        <w:div w:id="1161461361">
          <w:marLeft w:val="979"/>
          <w:marRight w:val="0"/>
          <w:marTop w:val="0"/>
          <w:marBottom w:val="0"/>
          <w:divBdr>
            <w:top w:val="none" w:sz="0" w:space="0" w:color="auto"/>
            <w:left w:val="none" w:sz="0" w:space="0" w:color="auto"/>
            <w:bottom w:val="none" w:sz="0" w:space="0" w:color="auto"/>
            <w:right w:val="none" w:sz="0" w:space="0" w:color="auto"/>
          </w:divBdr>
        </w:div>
        <w:div w:id="692998997">
          <w:marLeft w:val="979"/>
          <w:marRight w:val="0"/>
          <w:marTop w:val="0"/>
          <w:marBottom w:val="0"/>
          <w:divBdr>
            <w:top w:val="none" w:sz="0" w:space="0" w:color="auto"/>
            <w:left w:val="none" w:sz="0" w:space="0" w:color="auto"/>
            <w:bottom w:val="none" w:sz="0" w:space="0" w:color="auto"/>
            <w:right w:val="none" w:sz="0" w:space="0" w:color="auto"/>
          </w:divBdr>
        </w:div>
        <w:div w:id="771323135">
          <w:marLeft w:val="979"/>
          <w:marRight w:val="0"/>
          <w:marTop w:val="0"/>
          <w:marBottom w:val="0"/>
          <w:divBdr>
            <w:top w:val="none" w:sz="0" w:space="0" w:color="auto"/>
            <w:left w:val="none" w:sz="0" w:space="0" w:color="auto"/>
            <w:bottom w:val="none" w:sz="0" w:space="0" w:color="auto"/>
            <w:right w:val="none" w:sz="0" w:space="0" w:color="auto"/>
          </w:divBdr>
        </w:div>
        <w:div w:id="856888336">
          <w:marLeft w:val="979"/>
          <w:marRight w:val="0"/>
          <w:marTop w:val="0"/>
          <w:marBottom w:val="0"/>
          <w:divBdr>
            <w:top w:val="none" w:sz="0" w:space="0" w:color="auto"/>
            <w:left w:val="none" w:sz="0" w:space="0" w:color="auto"/>
            <w:bottom w:val="none" w:sz="0" w:space="0" w:color="auto"/>
            <w:right w:val="none" w:sz="0" w:space="0" w:color="auto"/>
          </w:divBdr>
        </w:div>
      </w:divsChild>
    </w:div>
    <w:div w:id="709957442">
      <w:bodyDiv w:val="1"/>
      <w:marLeft w:val="0"/>
      <w:marRight w:val="0"/>
      <w:marTop w:val="0"/>
      <w:marBottom w:val="0"/>
      <w:divBdr>
        <w:top w:val="none" w:sz="0" w:space="0" w:color="auto"/>
        <w:left w:val="none" w:sz="0" w:space="0" w:color="auto"/>
        <w:bottom w:val="none" w:sz="0" w:space="0" w:color="auto"/>
        <w:right w:val="none" w:sz="0" w:space="0" w:color="auto"/>
      </w:divBdr>
    </w:div>
    <w:div w:id="1114665850">
      <w:bodyDiv w:val="1"/>
      <w:marLeft w:val="0"/>
      <w:marRight w:val="0"/>
      <w:marTop w:val="0"/>
      <w:marBottom w:val="0"/>
      <w:divBdr>
        <w:top w:val="none" w:sz="0" w:space="0" w:color="auto"/>
        <w:left w:val="none" w:sz="0" w:space="0" w:color="auto"/>
        <w:bottom w:val="none" w:sz="0" w:space="0" w:color="auto"/>
        <w:right w:val="none" w:sz="0" w:space="0" w:color="auto"/>
      </w:divBdr>
      <w:divsChild>
        <w:div w:id="876359595">
          <w:marLeft w:val="850"/>
          <w:marRight w:val="0"/>
          <w:marTop w:val="0"/>
          <w:marBottom w:val="0"/>
          <w:divBdr>
            <w:top w:val="none" w:sz="0" w:space="0" w:color="auto"/>
            <w:left w:val="none" w:sz="0" w:space="0" w:color="auto"/>
            <w:bottom w:val="none" w:sz="0" w:space="0" w:color="auto"/>
            <w:right w:val="none" w:sz="0" w:space="0" w:color="auto"/>
          </w:divBdr>
        </w:div>
      </w:divsChild>
    </w:div>
    <w:div w:id="1240677730">
      <w:bodyDiv w:val="1"/>
      <w:marLeft w:val="0"/>
      <w:marRight w:val="0"/>
      <w:marTop w:val="0"/>
      <w:marBottom w:val="0"/>
      <w:divBdr>
        <w:top w:val="none" w:sz="0" w:space="0" w:color="auto"/>
        <w:left w:val="none" w:sz="0" w:space="0" w:color="auto"/>
        <w:bottom w:val="none" w:sz="0" w:space="0" w:color="auto"/>
        <w:right w:val="none" w:sz="0" w:space="0" w:color="auto"/>
      </w:divBdr>
    </w:div>
    <w:div w:id="1260287279">
      <w:bodyDiv w:val="1"/>
      <w:marLeft w:val="0"/>
      <w:marRight w:val="0"/>
      <w:marTop w:val="0"/>
      <w:marBottom w:val="0"/>
      <w:divBdr>
        <w:top w:val="none" w:sz="0" w:space="0" w:color="auto"/>
        <w:left w:val="none" w:sz="0" w:space="0" w:color="auto"/>
        <w:bottom w:val="none" w:sz="0" w:space="0" w:color="auto"/>
        <w:right w:val="none" w:sz="0" w:space="0" w:color="auto"/>
      </w:divBdr>
    </w:div>
    <w:div w:id="1640376049">
      <w:bodyDiv w:val="1"/>
      <w:marLeft w:val="0"/>
      <w:marRight w:val="0"/>
      <w:marTop w:val="0"/>
      <w:marBottom w:val="0"/>
      <w:divBdr>
        <w:top w:val="none" w:sz="0" w:space="0" w:color="auto"/>
        <w:left w:val="none" w:sz="0" w:space="0" w:color="auto"/>
        <w:bottom w:val="none" w:sz="0" w:space="0" w:color="auto"/>
        <w:right w:val="none" w:sz="0" w:space="0" w:color="auto"/>
      </w:divBdr>
      <w:divsChild>
        <w:div w:id="709913920">
          <w:marLeft w:val="360"/>
          <w:marRight w:val="0"/>
          <w:marTop w:val="120"/>
          <w:marBottom w:val="0"/>
          <w:divBdr>
            <w:top w:val="none" w:sz="0" w:space="0" w:color="auto"/>
            <w:left w:val="none" w:sz="0" w:space="0" w:color="auto"/>
            <w:bottom w:val="none" w:sz="0" w:space="0" w:color="auto"/>
            <w:right w:val="none" w:sz="0" w:space="0" w:color="auto"/>
          </w:divBdr>
        </w:div>
        <w:div w:id="911740328">
          <w:marLeft w:val="706"/>
          <w:marRight w:val="0"/>
          <w:marTop w:val="0"/>
          <w:marBottom w:val="0"/>
          <w:divBdr>
            <w:top w:val="none" w:sz="0" w:space="0" w:color="auto"/>
            <w:left w:val="none" w:sz="0" w:space="0" w:color="auto"/>
            <w:bottom w:val="none" w:sz="0" w:space="0" w:color="auto"/>
            <w:right w:val="none" w:sz="0" w:space="0" w:color="auto"/>
          </w:divBdr>
        </w:div>
      </w:divsChild>
    </w:div>
    <w:div w:id="1850101756">
      <w:bodyDiv w:val="1"/>
      <w:marLeft w:val="0"/>
      <w:marRight w:val="0"/>
      <w:marTop w:val="0"/>
      <w:marBottom w:val="0"/>
      <w:divBdr>
        <w:top w:val="none" w:sz="0" w:space="0" w:color="auto"/>
        <w:left w:val="none" w:sz="0" w:space="0" w:color="auto"/>
        <w:bottom w:val="none" w:sz="0" w:space="0" w:color="auto"/>
        <w:right w:val="none" w:sz="0" w:space="0" w:color="auto"/>
      </w:divBdr>
    </w:div>
    <w:div w:id="19655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sv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svg"/><Relationship Id="rId34" Type="http://schemas.openxmlformats.org/officeDocument/2006/relationships/image" Target="media/image27.sv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sv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microsoft.com/office/2007/relationships/hdphoto" Target="media/hdphoto1.wdp"/><Relationship Id="rId37" Type="http://schemas.openxmlformats.org/officeDocument/2006/relationships/image" Target="media/image30.png"/><Relationship Id="rId40" Type="http://schemas.openxmlformats.org/officeDocument/2006/relationships/image" Target="media/image33.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36" Type="http://schemas.openxmlformats.org/officeDocument/2006/relationships/image" Target="media/image29.svg"/><Relationship Id="rId10" Type="http://schemas.openxmlformats.org/officeDocument/2006/relationships/image" Target="media/image4.PNG"/><Relationship Id="rId19" Type="http://schemas.openxmlformats.org/officeDocument/2006/relationships/image" Target="media/image13.sv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sv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3075</Words>
  <Characters>16914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cwamba</dc:creator>
  <cp:lastModifiedBy>FRANCOIS Christine</cp:lastModifiedBy>
  <cp:revision>4</cp:revision>
  <cp:lastPrinted>2019-03-08T13:54:00Z</cp:lastPrinted>
  <dcterms:created xsi:type="dcterms:W3CDTF">2019-08-27T15:09:00Z</dcterms:created>
  <dcterms:modified xsi:type="dcterms:W3CDTF">2019-08-28T15:59:00Z</dcterms:modified>
</cp:coreProperties>
</file>